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95"/>
        <w:tblW w:w="10080" w:type="dxa"/>
        <w:tblLook w:val="0000" w:firstRow="0" w:lastRow="0" w:firstColumn="0" w:lastColumn="0" w:noHBand="0" w:noVBand="0"/>
      </w:tblPr>
      <w:tblGrid>
        <w:gridCol w:w="10080"/>
      </w:tblGrid>
      <w:tr w:rsidR="00F52F87" w:rsidRPr="000069C5" w:rsidTr="00E5330A">
        <w:trPr>
          <w:trHeight w:val="1419"/>
        </w:trPr>
        <w:tc>
          <w:tcPr>
            <w:tcW w:w="10080" w:type="dxa"/>
          </w:tcPr>
          <w:p w:rsidR="00F52F87" w:rsidRPr="000069C5" w:rsidRDefault="006C79C0" w:rsidP="00AB4660">
            <w:pPr>
              <w:spacing w:line="240" w:lineRule="auto"/>
              <w:ind w:left="946" w:hanging="946"/>
              <w:jc w:val="center"/>
              <w:rPr>
                <w:sz w:val="16"/>
                <w:szCs w:val="20"/>
              </w:rPr>
            </w:pPr>
            <w:r w:rsidRPr="000069C5">
              <w:rPr>
                <w:b/>
                <w:noProof/>
                <w:sz w:val="18"/>
              </w:rPr>
              <w:drawing>
                <wp:inline distT="0" distB="0" distL="0" distR="0">
                  <wp:extent cx="6477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50000"/>
                          </a:blip>
                          <a:srcRect/>
                          <a:stretch>
                            <a:fillRect/>
                          </a:stretch>
                        </pic:blipFill>
                        <pic:spPr bwMode="auto">
                          <a:xfrm>
                            <a:off x="0" y="0"/>
                            <a:ext cx="647700" cy="733425"/>
                          </a:xfrm>
                          <a:prstGeom prst="rect">
                            <a:avLst/>
                          </a:prstGeom>
                          <a:noFill/>
                          <a:ln w="9525">
                            <a:noFill/>
                            <a:miter lim="800000"/>
                            <a:headEnd/>
                            <a:tailEnd/>
                          </a:ln>
                        </pic:spPr>
                      </pic:pic>
                    </a:graphicData>
                  </a:graphic>
                </wp:inline>
              </w:drawing>
            </w:r>
          </w:p>
        </w:tc>
      </w:tr>
      <w:tr w:rsidR="00F52F87" w:rsidRPr="000069C5" w:rsidTr="00F52F87">
        <w:trPr>
          <w:trHeight w:val="1320"/>
        </w:trPr>
        <w:tc>
          <w:tcPr>
            <w:tcW w:w="10080" w:type="dxa"/>
          </w:tcPr>
          <w:p w:rsidR="00F52F87" w:rsidRPr="000069C5" w:rsidRDefault="00FB374F" w:rsidP="00AB4660">
            <w:pPr>
              <w:pStyle w:val="10"/>
              <w:rPr>
                <w:bCs/>
                <w:sz w:val="32"/>
              </w:rPr>
            </w:pPr>
            <w:r>
              <w:rPr>
                <w:bCs/>
                <w:sz w:val="32"/>
              </w:rPr>
              <w:t>СОВЕТ ДЕПУТАТОВ</w:t>
            </w:r>
          </w:p>
          <w:p w:rsidR="00F52F87" w:rsidRPr="000069C5" w:rsidRDefault="00F52F87" w:rsidP="00AB4660">
            <w:pPr>
              <w:pStyle w:val="10"/>
              <w:rPr>
                <w:bCs/>
                <w:sz w:val="32"/>
              </w:rPr>
            </w:pPr>
            <w:r w:rsidRPr="000069C5">
              <w:rPr>
                <w:bCs/>
                <w:sz w:val="32"/>
              </w:rPr>
              <w:t xml:space="preserve">ТОНШАЕВСКОГО МУНИЦИПАЛЬНОГО </w:t>
            </w:r>
            <w:r w:rsidR="00FB374F">
              <w:rPr>
                <w:bCs/>
                <w:sz w:val="32"/>
              </w:rPr>
              <w:t>ОКРУГА</w:t>
            </w:r>
          </w:p>
          <w:p w:rsidR="00F52F87" w:rsidRPr="000069C5" w:rsidRDefault="00F52F87" w:rsidP="00AB4660">
            <w:pPr>
              <w:spacing w:line="240" w:lineRule="auto"/>
              <w:jc w:val="center"/>
              <w:rPr>
                <w:b/>
                <w:sz w:val="32"/>
                <w:szCs w:val="20"/>
              </w:rPr>
            </w:pPr>
            <w:r w:rsidRPr="000069C5">
              <w:rPr>
                <w:b/>
                <w:sz w:val="32"/>
              </w:rPr>
              <w:t>НИЖЕГОРОДСКОЙ ОБЛАСТИ</w:t>
            </w:r>
          </w:p>
          <w:p w:rsidR="00F52F87" w:rsidRPr="000069C5" w:rsidRDefault="00F52F87" w:rsidP="00AB4660">
            <w:pPr>
              <w:pStyle w:val="2"/>
              <w:ind w:left="0"/>
              <w:jc w:val="center"/>
              <w:rPr>
                <w:b/>
                <w:i w:val="0"/>
                <w:sz w:val="36"/>
                <w:szCs w:val="36"/>
              </w:rPr>
            </w:pPr>
            <w:r w:rsidRPr="000069C5">
              <w:rPr>
                <w:b/>
                <w:i w:val="0"/>
                <w:sz w:val="36"/>
                <w:szCs w:val="36"/>
              </w:rPr>
              <w:t>РЕШЕНИЕ</w:t>
            </w:r>
          </w:p>
          <w:p w:rsidR="00027AC7" w:rsidRDefault="00027AC7" w:rsidP="00AB4660">
            <w:pPr>
              <w:pStyle w:val="3"/>
              <w:spacing w:line="240" w:lineRule="auto"/>
              <w:ind w:firstLine="0"/>
              <w:rPr>
                <w:sz w:val="16"/>
                <w:szCs w:val="20"/>
              </w:rPr>
            </w:pPr>
          </w:p>
          <w:p w:rsidR="001B0887" w:rsidRDefault="00347399" w:rsidP="00AB4660">
            <w:pPr>
              <w:pStyle w:val="3"/>
              <w:spacing w:line="240" w:lineRule="auto"/>
              <w:ind w:firstLine="0"/>
            </w:pPr>
            <w:r>
              <w:t xml:space="preserve"> </w:t>
            </w:r>
            <w:r w:rsidR="00DF4911" w:rsidRPr="00DF4911">
              <w:t>6</w:t>
            </w:r>
            <w:r w:rsidR="001B0887" w:rsidRPr="00DF4911">
              <w:t xml:space="preserve"> декабря 202</w:t>
            </w:r>
            <w:r w:rsidR="004F7E92" w:rsidRPr="00DF4911">
              <w:t>4</w:t>
            </w:r>
            <w:r w:rsidR="001B0887" w:rsidRPr="00DF4911">
              <w:t xml:space="preserve"> года                                                                                             </w:t>
            </w:r>
            <w:r w:rsidR="00393477">
              <w:t xml:space="preserve">                 </w:t>
            </w:r>
            <w:r w:rsidR="001B0887" w:rsidRPr="00DF4911">
              <w:t xml:space="preserve">   №</w:t>
            </w:r>
            <w:r w:rsidR="00393477">
              <w:t>488</w:t>
            </w:r>
          </w:p>
          <w:p w:rsidR="00683B32" w:rsidRPr="001B0887" w:rsidRDefault="00683B32" w:rsidP="00AB4660">
            <w:pPr>
              <w:pStyle w:val="3"/>
              <w:spacing w:line="240" w:lineRule="auto"/>
              <w:ind w:firstLine="0"/>
            </w:pPr>
          </w:p>
        </w:tc>
      </w:tr>
    </w:tbl>
    <w:p w:rsidR="001136A3" w:rsidRDefault="001136A3" w:rsidP="00B27C2E">
      <w:pPr>
        <w:spacing w:line="276" w:lineRule="auto"/>
        <w:jc w:val="center"/>
        <w:rPr>
          <w:b/>
          <w:szCs w:val="28"/>
        </w:rPr>
      </w:pPr>
      <w:r w:rsidRPr="00F229CC">
        <w:rPr>
          <w:b/>
          <w:szCs w:val="28"/>
        </w:rPr>
        <w:t>О внесении изменений в нормативы градостроительного проектирования Тоншаевского муниципального округа Нижегородской области, утвержденные решением совета депутатов Тоншаевского муниципального округа Нижегородской области от 24 мая 2021 г. № 151</w:t>
      </w:r>
    </w:p>
    <w:p w:rsidR="008F57A0" w:rsidRPr="000069C5" w:rsidRDefault="008F57A0" w:rsidP="00AB4660">
      <w:pPr>
        <w:autoSpaceDE w:val="0"/>
        <w:autoSpaceDN w:val="0"/>
        <w:adjustRightInd w:val="0"/>
        <w:spacing w:after="0" w:line="240" w:lineRule="auto"/>
        <w:ind w:firstLine="540"/>
        <w:jc w:val="both"/>
        <w:rPr>
          <w:szCs w:val="28"/>
        </w:rPr>
      </w:pPr>
    </w:p>
    <w:p w:rsidR="00E941FC" w:rsidRPr="000069C5" w:rsidRDefault="00B27C2E" w:rsidP="007A4EBE">
      <w:pPr>
        <w:autoSpaceDE w:val="0"/>
        <w:autoSpaceDN w:val="0"/>
        <w:adjustRightInd w:val="0"/>
        <w:spacing w:after="0"/>
        <w:ind w:firstLine="540"/>
        <w:jc w:val="both"/>
        <w:rPr>
          <w:szCs w:val="28"/>
        </w:rPr>
      </w:pPr>
      <w:r w:rsidRPr="00F229CC">
        <w:rPr>
          <w:szCs w:val="28"/>
        </w:rPr>
        <w:t xml:space="preserve">В соответствии со статьями </w:t>
      </w:r>
      <w:r>
        <w:rPr>
          <w:szCs w:val="28"/>
        </w:rPr>
        <w:t>8</w:t>
      </w:r>
      <w:r w:rsidRPr="00F229CC">
        <w:rPr>
          <w:szCs w:val="28"/>
        </w:rPr>
        <w:t>, 29</w:t>
      </w:r>
      <w:r w:rsidRPr="00F229CC">
        <w:rPr>
          <w:szCs w:val="28"/>
          <w:vertAlign w:val="superscript"/>
        </w:rPr>
        <w:t>2</w:t>
      </w:r>
      <w:r w:rsidRPr="00F229CC">
        <w:rPr>
          <w:szCs w:val="28"/>
        </w:rPr>
        <w:t>, 29</w:t>
      </w:r>
      <w:r>
        <w:rPr>
          <w:szCs w:val="28"/>
          <w:vertAlign w:val="superscript"/>
        </w:rPr>
        <w:t>4</w:t>
      </w:r>
      <w:r w:rsidRPr="00F229CC">
        <w:rPr>
          <w:szCs w:val="28"/>
        </w:rPr>
        <w:t xml:space="preserve"> Градостроительного кодекса Российской Федерации, стать</w:t>
      </w:r>
      <w:r>
        <w:rPr>
          <w:szCs w:val="28"/>
        </w:rPr>
        <w:t>ей</w:t>
      </w:r>
      <w:r w:rsidRPr="00F229CC">
        <w:rPr>
          <w:szCs w:val="28"/>
        </w:rPr>
        <w:t xml:space="preserve"> </w:t>
      </w:r>
      <w:r>
        <w:rPr>
          <w:szCs w:val="28"/>
        </w:rPr>
        <w:t xml:space="preserve">10.1 </w:t>
      </w:r>
      <w:r w:rsidRPr="00F229CC">
        <w:rPr>
          <w:szCs w:val="28"/>
        </w:rPr>
        <w:t xml:space="preserve">Закона Нижегородской области от 8 апреля 2008 г. № 37-З «Об основах регулирования градостроительной деятельности на территории Нижегородской области» </w:t>
      </w:r>
      <w:r w:rsidR="00871776">
        <w:rPr>
          <w:szCs w:val="28"/>
        </w:rPr>
        <w:t>Совет депутатов Тоншаевского муниципального округа</w:t>
      </w:r>
      <w:r w:rsidR="00CB2EAA" w:rsidRPr="000069C5">
        <w:rPr>
          <w:szCs w:val="28"/>
        </w:rPr>
        <w:t xml:space="preserve"> </w:t>
      </w:r>
      <w:r w:rsidR="00E941FC" w:rsidRPr="000069C5">
        <w:rPr>
          <w:b/>
          <w:szCs w:val="28"/>
        </w:rPr>
        <w:t>РЕШИЛ</w:t>
      </w:r>
      <w:r w:rsidR="00E941FC" w:rsidRPr="000069C5">
        <w:rPr>
          <w:szCs w:val="28"/>
        </w:rPr>
        <w:t xml:space="preserve">: </w:t>
      </w:r>
    </w:p>
    <w:p w:rsidR="00B27C2E" w:rsidRDefault="004F7E92" w:rsidP="00B27C2E">
      <w:pPr>
        <w:spacing w:after="0"/>
        <w:ind w:firstLine="709"/>
        <w:jc w:val="both"/>
        <w:rPr>
          <w:szCs w:val="28"/>
        </w:rPr>
      </w:pPr>
      <w:r>
        <w:rPr>
          <w:szCs w:val="28"/>
        </w:rPr>
        <w:t xml:space="preserve">1. </w:t>
      </w:r>
      <w:r w:rsidR="00B27C2E" w:rsidRPr="00DC6B00">
        <w:rPr>
          <w:szCs w:val="28"/>
        </w:rPr>
        <w:t xml:space="preserve">Утвердить прилагаемые изменения в нормативы градостроительного проектирования Тоншаевского муниципального округа Нижегородской </w:t>
      </w:r>
      <w:r w:rsidR="00B27C2E">
        <w:rPr>
          <w:szCs w:val="28"/>
        </w:rPr>
        <w:t>области, утвержденные решением С</w:t>
      </w:r>
      <w:r w:rsidR="00B27C2E" w:rsidRPr="00DC6B00">
        <w:rPr>
          <w:szCs w:val="28"/>
        </w:rPr>
        <w:t>овета депутатов Тоншаевского муниципального округа</w:t>
      </w:r>
      <w:r w:rsidR="00B27C2E">
        <w:rPr>
          <w:szCs w:val="28"/>
        </w:rPr>
        <w:t>.</w:t>
      </w:r>
    </w:p>
    <w:p w:rsidR="00B27C2E" w:rsidRDefault="00B27C2E" w:rsidP="00B27C2E">
      <w:pPr>
        <w:autoSpaceDE w:val="0"/>
        <w:autoSpaceDN w:val="0"/>
        <w:adjustRightInd w:val="0"/>
        <w:spacing w:after="0"/>
        <w:ind w:firstLine="540"/>
        <w:jc w:val="both"/>
        <w:rPr>
          <w:szCs w:val="28"/>
        </w:rPr>
      </w:pPr>
      <w:r>
        <w:rPr>
          <w:szCs w:val="28"/>
        </w:rPr>
        <w:t xml:space="preserve">2. </w:t>
      </w:r>
      <w:r w:rsidRPr="00D219CF">
        <w:rPr>
          <w:szCs w:val="28"/>
        </w:rPr>
        <w:t>Настоящее решение вступает в силу со дня его подписания, и подлежит размещению на официальном сайте администрации Тоншаевского муниципального района Нижегородской области и в</w:t>
      </w:r>
      <w:r>
        <w:rPr>
          <w:szCs w:val="28"/>
        </w:rPr>
        <w:t xml:space="preserve"> сетевом издании </w:t>
      </w:r>
      <w:r w:rsidRPr="00D219CF">
        <w:rPr>
          <w:szCs w:val="28"/>
        </w:rPr>
        <w:t>газет</w:t>
      </w:r>
      <w:r>
        <w:rPr>
          <w:szCs w:val="28"/>
        </w:rPr>
        <w:t>ы</w:t>
      </w:r>
      <w:r w:rsidRPr="00D219CF">
        <w:rPr>
          <w:szCs w:val="28"/>
        </w:rPr>
        <w:t xml:space="preserve"> «Край родной».</w:t>
      </w:r>
    </w:p>
    <w:p w:rsidR="00B27C2E" w:rsidRDefault="00B27C2E" w:rsidP="00B27C2E">
      <w:pPr>
        <w:spacing w:after="0"/>
        <w:ind w:firstLine="709"/>
        <w:jc w:val="both"/>
        <w:rPr>
          <w:szCs w:val="28"/>
        </w:rPr>
      </w:pPr>
      <w:r w:rsidRPr="00B27C2E">
        <w:rPr>
          <w:szCs w:val="28"/>
        </w:rPr>
        <w:t>3. Контроль за выполнением решения возложить на комиссию Совета депутатов Тоншаевского муниципального округа Нижегородской области по бюджету, финансам, налогам, имуществу и земельным ресурсам (Коновалов А.В.).</w:t>
      </w:r>
    </w:p>
    <w:p w:rsidR="004F7E92" w:rsidRPr="00B27C2E" w:rsidRDefault="004F7E92" w:rsidP="00AB4660">
      <w:pPr>
        <w:spacing w:after="0" w:line="240" w:lineRule="auto"/>
        <w:jc w:val="both"/>
        <w:rPr>
          <w:sz w:val="24"/>
          <w:szCs w:val="24"/>
        </w:rPr>
      </w:pPr>
    </w:p>
    <w:p w:rsidR="004F7E92" w:rsidRPr="00B27C2E" w:rsidRDefault="004F7E92" w:rsidP="00AB4660">
      <w:pPr>
        <w:spacing w:after="0" w:line="240" w:lineRule="auto"/>
        <w:jc w:val="both"/>
        <w:rPr>
          <w:sz w:val="24"/>
          <w:szCs w:val="24"/>
        </w:rPr>
      </w:pPr>
    </w:p>
    <w:p w:rsidR="00BE7A17" w:rsidRPr="00B27C2E" w:rsidRDefault="00BE7A17" w:rsidP="00AB4660">
      <w:pPr>
        <w:pStyle w:val="ConsPlusNormal"/>
        <w:widowControl/>
        <w:ind w:left="5664" w:firstLine="0"/>
        <w:jc w:val="right"/>
        <w:rPr>
          <w:rFonts w:ascii="Times New Roman" w:hAnsi="Times New Roman" w:cs="Times New Roman"/>
          <w:sz w:val="24"/>
          <w:szCs w:val="24"/>
        </w:rPr>
      </w:pPr>
    </w:p>
    <w:p w:rsidR="00871776" w:rsidRPr="00191557" w:rsidRDefault="00871776" w:rsidP="00AB4660">
      <w:pPr>
        <w:pStyle w:val="a7"/>
        <w:spacing w:line="240" w:lineRule="auto"/>
        <w:ind w:left="0"/>
        <w:jc w:val="both"/>
        <w:rPr>
          <w:rFonts w:ascii="Times New Roman" w:hAnsi="Times New Roman"/>
          <w:sz w:val="28"/>
          <w:szCs w:val="28"/>
        </w:rPr>
      </w:pPr>
      <w:r w:rsidRPr="00191557">
        <w:rPr>
          <w:rFonts w:ascii="Times New Roman" w:hAnsi="Times New Roman"/>
          <w:sz w:val="28"/>
          <w:szCs w:val="28"/>
        </w:rPr>
        <w:t xml:space="preserve">Председатель Совета Депутатов                                </w:t>
      </w:r>
      <w:r w:rsidR="00B315CA">
        <w:rPr>
          <w:rFonts w:ascii="Times New Roman" w:hAnsi="Times New Roman"/>
          <w:sz w:val="28"/>
          <w:szCs w:val="28"/>
        </w:rPr>
        <w:t xml:space="preserve">       </w:t>
      </w:r>
      <w:r w:rsidRPr="00191557">
        <w:rPr>
          <w:rFonts w:ascii="Times New Roman" w:hAnsi="Times New Roman"/>
          <w:sz w:val="28"/>
          <w:szCs w:val="28"/>
        </w:rPr>
        <w:t xml:space="preserve">                       А.В. Афанасьева</w:t>
      </w:r>
    </w:p>
    <w:p w:rsidR="00871776" w:rsidRDefault="00871776" w:rsidP="00AB4660">
      <w:pPr>
        <w:pStyle w:val="a7"/>
        <w:spacing w:line="240" w:lineRule="auto"/>
        <w:ind w:firstLine="567"/>
        <w:jc w:val="both"/>
        <w:rPr>
          <w:rFonts w:ascii="Times New Roman" w:hAnsi="Times New Roman"/>
          <w:sz w:val="28"/>
          <w:szCs w:val="28"/>
        </w:rPr>
      </w:pPr>
    </w:p>
    <w:p w:rsidR="00342E56" w:rsidRDefault="00342E56" w:rsidP="00AB4660">
      <w:pPr>
        <w:pStyle w:val="a7"/>
        <w:spacing w:line="240" w:lineRule="auto"/>
        <w:ind w:firstLine="567"/>
        <w:jc w:val="both"/>
        <w:rPr>
          <w:rFonts w:ascii="Times New Roman" w:hAnsi="Times New Roman"/>
          <w:sz w:val="28"/>
          <w:szCs w:val="28"/>
        </w:rPr>
      </w:pPr>
    </w:p>
    <w:p w:rsidR="00342E56" w:rsidRDefault="00342E56" w:rsidP="00AB4660">
      <w:pPr>
        <w:pStyle w:val="a7"/>
        <w:spacing w:line="240" w:lineRule="auto"/>
        <w:ind w:firstLine="567"/>
        <w:jc w:val="both"/>
        <w:rPr>
          <w:rFonts w:ascii="Times New Roman" w:hAnsi="Times New Roman"/>
          <w:sz w:val="28"/>
          <w:szCs w:val="28"/>
        </w:rPr>
      </w:pPr>
    </w:p>
    <w:p w:rsidR="00871776" w:rsidRDefault="00871776" w:rsidP="00AB4660">
      <w:pPr>
        <w:pStyle w:val="a7"/>
        <w:spacing w:line="240" w:lineRule="auto"/>
        <w:ind w:left="0"/>
        <w:jc w:val="both"/>
        <w:rPr>
          <w:rFonts w:ascii="Times New Roman" w:hAnsi="Times New Roman"/>
          <w:sz w:val="28"/>
          <w:szCs w:val="28"/>
        </w:rPr>
      </w:pPr>
      <w:r w:rsidRPr="00191557">
        <w:rPr>
          <w:rFonts w:ascii="Times New Roman" w:hAnsi="Times New Roman"/>
          <w:sz w:val="28"/>
          <w:szCs w:val="28"/>
        </w:rPr>
        <w:t xml:space="preserve">Глава местного самоуправления                                           </w:t>
      </w:r>
      <w:r w:rsidR="00B315CA">
        <w:rPr>
          <w:rFonts w:ascii="Times New Roman" w:hAnsi="Times New Roman"/>
          <w:sz w:val="28"/>
          <w:szCs w:val="28"/>
        </w:rPr>
        <w:t xml:space="preserve">         </w:t>
      </w:r>
      <w:r w:rsidRPr="00191557">
        <w:rPr>
          <w:rFonts w:ascii="Times New Roman" w:hAnsi="Times New Roman"/>
          <w:sz w:val="28"/>
          <w:szCs w:val="28"/>
        </w:rPr>
        <w:t xml:space="preserve">               С.Ю. Стремин </w:t>
      </w:r>
    </w:p>
    <w:p w:rsidR="00871776" w:rsidRDefault="00871776" w:rsidP="00AB4660">
      <w:pPr>
        <w:pStyle w:val="a7"/>
        <w:spacing w:line="240" w:lineRule="auto"/>
        <w:ind w:left="0"/>
        <w:jc w:val="both"/>
        <w:rPr>
          <w:rFonts w:ascii="Times New Roman" w:hAnsi="Times New Roman"/>
          <w:sz w:val="28"/>
          <w:szCs w:val="28"/>
        </w:rPr>
      </w:pPr>
    </w:p>
    <w:p w:rsidR="00B27C2E" w:rsidRDefault="00B27C2E" w:rsidP="00B27C2E">
      <w:pPr>
        <w:spacing w:after="0" w:line="240" w:lineRule="auto"/>
        <w:jc w:val="right"/>
      </w:pPr>
      <w:r>
        <w:lastRenderedPageBreak/>
        <w:t>УТВЕРЖДЕНЫ</w:t>
      </w:r>
    </w:p>
    <w:p w:rsidR="00B27C2E" w:rsidRDefault="00B27C2E" w:rsidP="00B27C2E">
      <w:pPr>
        <w:spacing w:after="0" w:line="240" w:lineRule="auto"/>
        <w:jc w:val="right"/>
      </w:pPr>
      <w:r>
        <w:t xml:space="preserve"> решением Совета депутатов</w:t>
      </w:r>
    </w:p>
    <w:p w:rsidR="00B27C2E" w:rsidRDefault="00B27C2E" w:rsidP="00B27C2E">
      <w:pPr>
        <w:spacing w:after="0" w:line="240" w:lineRule="auto"/>
        <w:jc w:val="right"/>
      </w:pPr>
      <w:r>
        <w:t xml:space="preserve"> Тоншаевского муниципального округа</w:t>
      </w:r>
    </w:p>
    <w:p w:rsidR="00B27C2E" w:rsidRDefault="00B27C2E" w:rsidP="00B27C2E">
      <w:pPr>
        <w:spacing w:after="0" w:line="240" w:lineRule="auto"/>
        <w:jc w:val="right"/>
      </w:pPr>
      <w:r>
        <w:t>Нижегородской области</w:t>
      </w:r>
    </w:p>
    <w:p w:rsidR="00B27C2E" w:rsidRDefault="00B27C2E" w:rsidP="00B27C2E">
      <w:pPr>
        <w:spacing w:after="0" w:line="240" w:lineRule="auto"/>
        <w:jc w:val="right"/>
      </w:pPr>
      <w:r>
        <w:t xml:space="preserve"> от 06.12.2024 №</w:t>
      </w:r>
      <w:r w:rsidR="00393477">
        <w:t>488</w:t>
      </w:r>
      <w:bookmarkStart w:id="0" w:name="_GoBack"/>
      <w:bookmarkEnd w:id="0"/>
      <w:r>
        <w:t xml:space="preserve"> </w:t>
      </w:r>
    </w:p>
    <w:p w:rsidR="00B27C2E" w:rsidRDefault="00B27C2E" w:rsidP="00B27C2E">
      <w:pPr>
        <w:jc w:val="right"/>
      </w:pPr>
      <w:r>
        <w:t xml:space="preserve"> </w:t>
      </w:r>
    </w:p>
    <w:p w:rsidR="00B27C2E" w:rsidRPr="00C404A4" w:rsidRDefault="00B27C2E" w:rsidP="00B27C2E">
      <w:pPr>
        <w:jc w:val="center"/>
        <w:rPr>
          <w:b/>
        </w:rPr>
      </w:pPr>
      <w:r w:rsidRPr="00C404A4">
        <w:rPr>
          <w:b/>
        </w:rPr>
        <w:t xml:space="preserve">Изменения в нормативы градостроительного проектирования Тоншаевского муниципального округа Нижегородской области, утвержденные </w:t>
      </w:r>
      <w:r>
        <w:rPr>
          <w:b/>
        </w:rPr>
        <w:t>решением С</w:t>
      </w:r>
      <w:r w:rsidRPr="00C404A4">
        <w:rPr>
          <w:b/>
        </w:rPr>
        <w:t>овета депутатов Тоншаевского муниципального округа Нижегородской области от 24 мая 2021 г. № 151</w:t>
      </w:r>
    </w:p>
    <w:p w:rsidR="003A52E8" w:rsidRPr="003A52E8" w:rsidRDefault="00B27C2E" w:rsidP="003A52E8">
      <w:pPr>
        <w:pStyle w:val="a7"/>
        <w:numPr>
          <w:ilvl w:val="0"/>
          <w:numId w:val="14"/>
        </w:numPr>
        <w:spacing w:after="160" w:line="259" w:lineRule="auto"/>
        <w:rPr>
          <w:rFonts w:ascii="Times New Roman" w:hAnsi="Times New Roman"/>
          <w:sz w:val="28"/>
          <w:szCs w:val="28"/>
        </w:rPr>
      </w:pPr>
      <w:r w:rsidRPr="003A52E8">
        <w:rPr>
          <w:rFonts w:ascii="Times New Roman" w:hAnsi="Times New Roman"/>
          <w:sz w:val="28"/>
          <w:szCs w:val="28"/>
        </w:rPr>
        <w:t xml:space="preserve">Дополнить разделом следующего содержания: </w:t>
      </w:r>
    </w:p>
    <w:p w:rsidR="003A52E8" w:rsidRPr="003A52E8" w:rsidRDefault="003A52E8" w:rsidP="003A52E8">
      <w:pPr>
        <w:pStyle w:val="a7"/>
        <w:spacing w:after="160" w:line="259" w:lineRule="auto"/>
        <w:rPr>
          <w:rFonts w:ascii="Times New Roman" w:hAnsi="Times New Roman"/>
          <w:sz w:val="28"/>
          <w:szCs w:val="28"/>
        </w:rPr>
      </w:pPr>
    </w:p>
    <w:p w:rsidR="003A52E8" w:rsidRDefault="00BE55CF" w:rsidP="003A52E8">
      <w:pPr>
        <w:pStyle w:val="a7"/>
        <w:spacing w:after="160" w:line="259" w:lineRule="auto"/>
        <w:jc w:val="center"/>
      </w:pPr>
      <w:r>
        <w:rPr>
          <w:rFonts w:ascii="Times New Roman" w:hAnsi="Times New Roman"/>
          <w:sz w:val="28"/>
          <w:szCs w:val="28"/>
        </w:rPr>
        <w:t>«</w:t>
      </w:r>
      <w:r w:rsidR="003A52E8" w:rsidRPr="003A52E8">
        <w:rPr>
          <w:rFonts w:ascii="Times New Roman" w:hAnsi="Times New Roman"/>
          <w:sz w:val="28"/>
          <w:szCs w:val="28"/>
        </w:rPr>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СПОРТИВНОГО И ФИЗКУЛЬТУРНО-ОЗДОРОВИТЕЛЬНОГО НАЗНАЧЕНИЯ МЕСТНОГО ЗНАЧЕНИЯ </w:t>
      </w:r>
      <w:r w:rsidR="003A52E8">
        <w:rPr>
          <w:rFonts w:ascii="Times New Roman" w:hAnsi="Times New Roman"/>
          <w:sz w:val="28"/>
          <w:szCs w:val="28"/>
        </w:rPr>
        <w:t xml:space="preserve"> </w:t>
      </w:r>
    </w:p>
    <w:p w:rsidR="00B27C2E" w:rsidRDefault="00B27C2E" w:rsidP="00B27C2E">
      <w:r>
        <w:t xml:space="preserve">                                                                                                           Таблица 30</w:t>
      </w:r>
    </w:p>
    <w:tbl>
      <w:tblPr>
        <w:tblStyle w:val="a8"/>
        <w:tblW w:w="0" w:type="auto"/>
        <w:tblLook w:val="04A0" w:firstRow="1" w:lastRow="0" w:firstColumn="1" w:lastColumn="0" w:noHBand="0" w:noVBand="1"/>
      </w:tblPr>
      <w:tblGrid>
        <w:gridCol w:w="1012"/>
        <w:gridCol w:w="2156"/>
        <w:gridCol w:w="2226"/>
        <w:gridCol w:w="9"/>
        <w:gridCol w:w="16"/>
        <w:gridCol w:w="2201"/>
        <w:gridCol w:w="14"/>
        <w:gridCol w:w="26"/>
        <w:gridCol w:w="2186"/>
      </w:tblGrid>
      <w:tr w:rsidR="00B27C2E" w:rsidRPr="003A52E8" w:rsidTr="00BD2355">
        <w:tc>
          <w:tcPr>
            <w:tcW w:w="673" w:type="dxa"/>
          </w:tcPr>
          <w:p w:rsidR="00B27C2E" w:rsidRPr="003A52E8" w:rsidRDefault="00B27C2E" w:rsidP="00BD2355">
            <w:pPr>
              <w:rPr>
                <w:sz w:val="24"/>
                <w:szCs w:val="24"/>
              </w:rPr>
            </w:pPr>
            <w:r w:rsidRPr="003A52E8">
              <w:rPr>
                <w:sz w:val="24"/>
                <w:szCs w:val="24"/>
              </w:rPr>
              <w:t>№ п/п</w:t>
            </w:r>
          </w:p>
        </w:tc>
        <w:tc>
          <w:tcPr>
            <w:tcW w:w="1994" w:type="dxa"/>
          </w:tcPr>
          <w:p w:rsidR="00B27C2E" w:rsidRPr="003A52E8" w:rsidRDefault="00B27C2E" w:rsidP="00B27C2E">
            <w:pPr>
              <w:spacing w:line="240" w:lineRule="auto"/>
              <w:ind w:hanging="131"/>
              <w:jc w:val="center"/>
              <w:rPr>
                <w:sz w:val="24"/>
                <w:szCs w:val="24"/>
              </w:rPr>
            </w:pPr>
            <w:r w:rsidRPr="003A52E8">
              <w:rPr>
                <w:sz w:val="24"/>
                <w:szCs w:val="24"/>
              </w:rPr>
              <w:t>Наименование вида объекта</w:t>
            </w:r>
          </w:p>
        </w:tc>
        <w:tc>
          <w:tcPr>
            <w:tcW w:w="2251" w:type="dxa"/>
            <w:gridSpan w:val="3"/>
          </w:tcPr>
          <w:p w:rsidR="00B27C2E" w:rsidRPr="003A52E8" w:rsidRDefault="00B27C2E" w:rsidP="00B27C2E">
            <w:pPr>
              <w:spacing w:line="240" w:lineRule="auto"/>
              <w:ind w:hanging="131"/>
              <w:jc w:val="center"/>
              <w:rPr>
                <w:sz w:val="24"/>
                <w:szCs w:val="24"/>
              </w:rPr>
            </w:pPr>
            <w:r w:rsidRPr="003A52E8">
              <w:rPr>
                <w:sz w:val="24"/>
                <w:szCs w:val="24"/>
              </w:rPr>
              <w:t>Тип расчетного показателя</w:t>
            </w:r>
          </w:p>
        </w:tc>
        <w:tc>
          <w:tcPr>
            <w:tcW w:w="2241" w:type="dxa"/>
            <w:gridSpan w:val="3"/>
          </w:tcPr>
          <w:p w:rsidR="00B27C2E" w:rsidRPr="003A52E8" w:rsidRDefault="00B27C2E" w:rsidP="00B27C2E">
            <w:pPr>
              <w:spacing w:line="240" w:lineRule="auto"/>
              <w:ind w:hanging="131"/>
              <w:jc w:val="center"/>
              <w:rPr>
                <w:sz w:val="24"/>
                <w:szCs w:val="24"/>
              </w:rPr>
            </w:pPr>
            <w:r w:rsidRPr="003A52E8">
              <w:rPr>
                <w:sz w:val="24"/>
                <w:szCs w:val="24"/>
              </w:rPr>
              <w:t>Наименование расчетного показателя, ед. измерения</w:t>
            </w:r>
          </w:p>
        </w:tc>
        <w:tc>
          <w:tcPr>
            <w:tcW w:w="2186" w:type="dxa"/>
          </w:tcPr>
          <w:p w:rsidR="00B27C2E" w:rsidRPr="003A52E8" w:rsidRDefault="00B27C2E" w:rsidP="00B27C2E">
            <w:pPr>
              <w:spacing w:line="240" w:lineRule="auto"/>
              <w:ind w:hanging="131"/>
              <w:jc w:val="center"/>
              <w:rPr>
                <w:sz w:val="24"/>
                <w:szCs w:val="24"/>
              </w:rPr>
            </w:pPr>
            <w:r w:rsidRPr="003A52E8">
              <w:rPr>
                <w:sz w:val="24"/>
                <w:szCs w:val="24"/>
              </w:rPr>
              <w:t>Предельные значения расчетных показателей</w:t>
            </w:r>
          </w:p>
        </w:tc>
      </w:tr>
      <w:tr w:rsidR="00B27C2E" w:rsidRPr="003A52E8" w:rsidTr="00BD2355">
        <w:trPr>
          <w:trHeight w:val="672"/>
        </w:trPr>
        <w:tc>
          <w:tcPr>
            <w:tcW w:w="673" w:type="dxa"/>
            <w:vMerge w:val="restart"/>
          </w:tcPr>
          <w:p w:rsidR="00B27C2E" w:rsidRPr="003A52E8" w:rsidRDefault="00B27C2E" w:rsidP="00BD2355">
            <w:pPr>
              <w:rPr>
                <w:sz w:val="24"/>
                <w:szCs w:val="24"/>
              </w:rPr>
            </w:pPr>
            <w:r w:rsidRPr="003A52E8">
              <w:rPr>
                <w:sz w:val="24"/>
                <w:szCs w:val="24"/>
              </w:rPr>
              <w:t>1</w:t>
            </w:r>
          </w:p>
        </w:tc>
        <w:tc>
          <w:tcPr>
            <w:tcW w:w="1994" w:type="dxa"/>
            <w:vMerge w:val="restart"/>
          </w:tcPr>
          <w:p w:rsidR="00B27C2E" w:rsidRPr="003A52E8" w:rsidRDefault="00B27C2E" w:rsidP="00B27C2E">
            <w:pPr>
              <w:spacing w:line="240" w:lineRule="auto"/>
              <w:ind w:hanging="131"/>
              <w:jc w:val="center"/>
              <w:rPr>
                <w:sz w:val="24"/>
                <w:szCs w:val="24"/>
              </w:rPr>
            </w:pPr>
            <w:r w:rsidRPr="003A52E8">
              <w:rPr>
                <w:sz w:val="24"/>
                <w:szCs w:val="24"/>
              </w:rPr>
              <w:t>Стадионы всех видов с трибунами на 1500 мест и более</w:t>
            </w:r>
          </w:p>
        </w:tc>
        <w:tc>
          <w:tcPr>
            <w:tcW w:w="2251" w:type="dxa"/>
            <w:gridSpan w:val="3"/>
          </w:tcPr>
          <w:p w:rsidR="00B27C2E" w:rsidRPr="003A52E8" w:rsidRDefault="00B27C2E" w:rsidP="00B27C2E">
            <w:pPr>
              <w:spacing w:line="240" w:lineRule="auto"/>
              <w:ind w:hanging="131"/>
              <w:jc w:val="center"/>
              <w:rPr>
                <w:sz w:val="24"/>
                <w:szCs w:val="24"/>
              </w:rPr>
            </w:pPr>
            <w:r w:rsidRPr="003A52E8">
              <w:rPr>
                <w:sz w:val="24"/>
                <w:szCs w:val="24"/>
              </w:rPr>
              <w:t>Расчетные показатели минимально допустимого уровня обеспеченности</w:t>
            </w:r>
          </w:p>
        </w:tc>
        <w:tc>
          <w:tcPr>
            <w:tcW w:w="2241" w:type="dxa"/>
            <w:gridSpan w:val="3"/>
          </w:tcPr>
          <w:p w:rsidR="00B27C2E" w:rsidRPr="003A52E8" w:rsidRDefault="00B27C2E" w:rsidP="00B27C2E">
            <w:pPr>
              <w:spacing w:line="240" w:lineRule="auto"/>
              <w:ind w:hanging="131"/>
              <w:jc w:val="center"/>
              <w:rPr>
                <w:sz w:val="24"/>
                <w:szCs w:val="24"/>
              </w:rPr>
            </w:pPr>
            <w:r w:rsidRPr="003A52E8">
              <w:rPr>
                <w:sz w:val="24"/>
                <w:szCs w:val="24"/>
              </w:rPr>
              <w:t>Уровень обеспеченности, количество объектов</w:t>
            </w:r>
          </w:p>
        </w:tc>
        <w:tc>
          <w:tcPr>
            <w:tcW w:w="2186" w:type="dxa"/>
          </w:tcPr>
          <w:p w:rsidR="00B27C2E" w:rsidRPr="003A52E8" w:rsidRDefault="00B27C2E" w:rsidP="00B27C2E">
            <w:pPr>
              <w:spacing w:line="240" w:lineRule="auto"/>
              <w:ind w:hanging="131"/>
              <w:jc w:val="center"/>
              <w:rPr>
                <w:sz w:val="24"/>
                <w:szCs w:val="24"/>
              </w:rPr>
            </w:pPr>
            <w:r w:rsidRPr="003A52E8">
              <w:rPr>
                <w:sz w:val="24"/>
                <w:szCs w:val="24"/>
              </w:rPr>
              <w:t>1 на 100 тыс. жителей</w:t>
            </w:r>
          </w:p>
        </w:tc>
      </w:tr>
      <w:tr w:rsidR="00B27C2E" w:rsidRPr="003A52E8" w:rsidTr="00BD2355">
        <w:trPr>
          <w:trHeight w:val="672"/>
        </w:trPr>
        <w:tc>
          <w:tcPr>
            <w:tcW w:w="673" w:type="dxa"/>
            <w:vMerge/>
          </w:tcPr>
          <w:p w:rsidR="00B27C2E" w:rsidRPr="003A52E8" w:rsidRDefault="00B27C2E" w:rsidP="00BD2355">
            <w:pPr>
              <w:rPr>
                <w:sz w:val="24"/>
                <w:szCs w:val="24"/>
              </w:rPr>
            </w:pPr>
          </w:p>
        </w:tc>
        <w:tc>
          <w:tcPr>
            <w:tcW w:w="1994" w:type="dxa"/>
            <w:vMerge/>
          </w:tcPr>
          <w:p w:rsidR="00B27C2E" w:rsidRPr="003A52E8" w:rsidRDefault="00B27C2E" w:rsidP="00B27C2E">
            <w:pPr>
              <w:spacing w:line="240" w:lineRule="auto"/>
              <w:ind w:hanging="131"/>
              <w:jc w:val="center"/>
              <w:rPr>
                <w:sz w:val="24"/>
                <w:szCs w:val="24"/>
              </w:rPr>
            </w:pPr>
          </w:p>
        </w:tc>
        <w:tc>
          <w:tcPr>
            <w:tcW w:w="2251" w:type="dxa"/>
            <w:gridSpan w:val="3"/>
          </w:tcPr>
          <w:p w:rsidR="00B27C2E" w:rsidRPr="003A52E8" w:rsidRDefault="00B27C2E" w:rsidP="00B27C2E">
            <w:pPr>
              <w:spacing w:line="240" w:lineRule="auto"/>
              <w:ind w:hanging="131"/>
              <w:jc w:val="center"/>
              <w:rPr>
                <w:sz w:val="24"/>
                <w:szCs w:val="24"/>
              </w:rPr>
            </w:pPr>
            <w:r w:rsidRPr="003A52E8">
              <w:rPr>
                <w:sz w:val="24"/>
                <w:szCs w:val="24"/>
              </w:rPr>
              <w:t>Расчетный показатель максимально допустимого уровня территориальной доступности</w:t>
            </w:r>
          </w:p>
          <w:p w:rsidR="00B27C2E" w:rsidRPr="003A52E8" w:rsidRDefault="00B27C2E" w:rsidP="00B27C2E">
            <w:pPr>
              <w:spacing w:line="240" w:lineRule="auto"/>
              <w:ind w:hanging="131"/>
              <w:jc w:val="center"/>
              <w:rPr>
                <w:sz w:val="24"/>
                <w:szCs w:val="24"/>
              </w:rPr>
            </w:pPr>
          </w:p>
        </w:tc>
        <w:tc>
          <w:tcPr>
            <w:tcW w:w="2241" w:type="dxa"/>
            <w:gridSpan w:val="3"/>
          </w:tcPr>
          <w:p w:rsidR="00B27C2E" w:rsidRPr="003A52E8" w:rsidRDefault="00B27C2E" w:rsidP="00B27C2E">
            <w:pPr>
              <w:spacing w:line="240" w:lineRule="auto"/>
              <w:ind w:hanging="131"/>
              <w:jc w:val="center"/>
              <w:rPr>
                <w:sz w:val="24"/>
                <w:szCs w:val="24"/>
              </w:rPr>
            </w:pPr>
            <w:r w:rsidRPr="003A52E8">
              <w:rPr>
                <w:sz w:val="24"/>
                <w:szCs w:val="24"/>
              </w:rPr>
              <w:t>Транспортная доступность, м</w:t>
            </w:r>
          </w:p>
        </w:tc>
        <w:tc>
          <w:tcPr>
            <w:tcW w:w="2186" w:type="dxa"/>
          </w:tcPr>
          <w:p w:rsidR="00B27C2E" w:rsidRPr="003A52E8" w:rsidRDefault="00B27C2E" w:rsidP="00B27C2E">
            <w:pPr>
              <w:spacing w:line="240" w:lineRule="auto"/>
              <w:ind w:hanging="131"/>
              <w:jc w:val="center"/>
              <w:rPr>
                <w:sz w:val="24"/>
                <w:szCs w:val="24"/>
              </w:rPr>
            </w:pPr>
            <w:r w:rsidRPr="003A52E8">
              <w:rPr>
                <w:sz w:val="24"/>
                <w:szCs w:val="24"/>
              </w:rPr>
              <w:t>- для крупного городского поселения (город более 100 тыс. чел.) - не более 30 мин.;</w:t>
            </w:r>
          </w:p>
          <w:p w:rsidR="00B27C2E" w:rsidRPr="003A52E8" w:rsidRDefault="00B27C2E" w:rsidP="00B27C2E">
            <w:pPr>
              <w:spacing w:line="240" w:lineRule="auto"/>
              <w:ind w:hanging="131"/>
              <w:jc w:val="center"/>
              <w:rPr>
                <w:sz w:val="24"/>
                <w:szCs w:val="24"/>
              </w:rPr>
            </w:pPr>
            <w:r w:rsidRPr="003A52E8">
              <w:rPr>
                <w:sz w:val="24"/>
                <w:szCs w:val="24"/>
              </w:rPr>
              <w:t xml:space="preserve">- для малых и средних городов, в том числе поселков городского типа (от 5 тыс. до 100 </w:t>
            </w:r>
            <w:r w:rsidRPr="003A52E8">
              <w:rPr>
                <w:sz w:val="24"/>
                <w:szCs w:val="24"/>
              </w:rPr>
              <w:lastRenderedPageBreak/>
              <w:t>тыс. чел.) - не более 60 мин.;</w:t>
            </w:r>
          </w:p>
          <w:p w:rsidR="00B27C2E" w:rsidRPr="003A52E8" w:rsidRDefault="00B27C2E" w:rsidP="00B27C2E">
            <w:pPr>
              <w:spacing w:line="240" w:lineRule="auto"/>
              <w:ind w:hanging="131"/>
              <w:jc w:val="center"/>
              <w:rPr>
                <w:sz w:val="24"/>
                <w:szCs w:val="24"/>
              </w:rPr>
            </w:pPr>
            <w:r w:rsidRPr="003A52E8">
              <w:rPr>
                <w:sz w:val="24"/>
                <w:szCs w:val="24"/>
              </w:rPr>
              <w:t>- для сельских населенных пунктов - не более 1 час 30 мин.</w:t>
            </w:r>
          </w:p>
        </w:tc>
      </w:tr>
      <w:tr w:rsidR="00B27C2E" w:rsidRPr="003A52E8" w:rsidTr="00BD2355">
        <w:trPr>
          <w:trHeight w:val="1614"/>
        </w:trPr>
        <w:tc>
          <w:tcPr>
            <w:tcW w:w="673" w:type="dxa"/>
            <w:vMerge w:val="restart"/>
          </w:tcPr>
          <w:p w:rsidR="00B27C2E" w:rsidRPr="003A52E8" w:rsidRDefault="00B27C2E" w:rsidP="00BD2355">
            <w:pPr>
              <w:rPr>
                <w:sz w:val="24"/>
                <w:szCs w:val="24"/>
              </w:rPr>
            </w:pPr>
            <w:r w:rsidRPr="003A52E8">
              <w:rPr>
                <w:sz w:val="24"/>
                <w:szCs w:val="24"/>
              </w:rPr>
              <w:lastRenderedPageBreak/>
              <w:t>2</w:t>
            </w:r>
          </w:p>
        </w:tc>
        <w:tc>
          <w:tcPr>
            <w:tcW w:w="1994" w:type="dxa"/>
            <w:vMerge w:val="restart"/>
          </w:tcPr>
          <w:p w:rsidR="00B27C2E" w:rsidRPr="003A52E8" w:rsidRDefault="00B27C2E" w:rsidP="00B27C2E">
            <w:pPr>
              <w:spacing w:line="240" w:lineRule="auto"/>
              <w:ind w:hanging="131"/>
              <w:jc w:val="center"/>
              <w:rPr>
                <w:sz w:val="24"/>
                <w:szCs w:val="24"/>
              </w:rPr>
            </w:pPr>
            <w:r w:rsidRPr="003A52E8">
              <w:rPr>
                <w:sz w:val="24"/>
                <w:szCs w:val="24"/>
              </w:rPr>
              <w:t>Плоскостные спортивные сооружения, включая хоккейные коробки, баскетбольные, волейбольные, универсальные площадки, поля для мини-футбола</w:t>
            </w:r>
          </w:p>
        </w:tc>
        <w:tc>
          <w:tcPr>
            <w:tcW w:w="2251" w:type="dxa"/>
            <w:gridSpan w:val="3"/>
          </w:tcPr>
          <w:p w:rsidR="00B27C2E" w:rsidRPr="003A52E8" w:rsidRDefault="00B27C2E" w:rsidP="00B27C2E">
            <w:pPr>
              <w:spacing w:line="240" w:lineRule="auto"/>
              <w:ind w:hanging="131"/>
              <w:jc w:val="center"/>
              <w:rPr>
                <w:sz w:val="24"/>
                <w:szCs w:val="24"/>
              </w:rPr>
            </w:pPr>
            <w:r w:rsidRPr="003A52E8">
              <w:rPr>
                <w:sz w:val="24"/>
                <w:szCs w:val="24"/>
              </w:rPr>
              <w:t>Расчетные показатели минимально допустимого уровня обеспеченности</w:t>
            </w:r>
          </w:p>
        </w:tc>
        <w:tc>
          <w:tcPr>
            <w:tcW w:w="2241" w:type="dxa"/>
            <w:gridSpan w:val="3"/>
          </w:tcPr>
          <w:p w:rsidR="00B27C2E" w:rsidRPr="003A52E8" w:rsidRDefault="00B27C2E" w:rsidP="00B27C2E">
            <w:pPr>
              <w:spacing w:line="240" w:lineRule="auto"/>
              <w:ind w:hanging="131"/>
              <w:jc w:val="center"/>
              <w:rPr>
                <w:sz w:val="24"/>
                <w:szCs w:val="24"/>
              </w:rPr>
            </w:pPr>
            <w:r w:rsidRPr="003A52E8">
              <w:rPr>
                <w:sz w:val="24"/>
                <w:szCs w:val="24"/>
              </w:rPr>
              <w:t>Уровень обеспеченности, количество объектов</w:t>
            </w:r>
          </w:p>
        </w:tc>
        <w:tc>
          <w:tcPr>
            <w:tcW w:w="2186" w:type="dxa"/>
          </w:tcPr>
          <w:p w:rsidR="00B27C2E" w:rsidRPr="003A52E8" w:rsidRDefault="00B27C2E" w:rsidP="00B27C2E">
            <w:pPr>
              <w:spacing w:line="240" w:lineRule="auto"/>
              <w:ind w:hanging="131"/>
              <w:jc w:val="center"/>
              <w:rPr>
                <w:sz w:val="24"/>
                <w:szCs w:val="24"/>
              </w:rPr>
            </w:pPr>
            <w:r w:rsidRPr="003A52E8">
              <w:rPr>
                <w:sz w:val="24"/>
                <w:szCs w:val="24"/>
              </w:rPr>
              <w:t>110 на 100 тыс. жителей</w:t>
            </w:r>
          </w:p>
        </w:tc>
      </w:tr>
      <w:tr w:rsidR="00B27C2E" w:rsidRPr="003A52E8" w:rsidTr="00BD2355">
        <w:trPr>
          <w:trHeight w:val="1614"/>
        </w:trPr>
        <w:tc>
          <w:tcPr>
            <w:tcW w:w="673" w:type="dxa"/>
            <w:vMerge/>
          </w:tcPr>
          <w:p w:rsidR="00B27C2E" w:rsidRPr="003A52E8" w:rsidRDefault="00B27C2E" w:rsidP="00BD2355">
            <w:pPr>
              <w:rPr>
                <w:sz w:val="24"/>
                <w:szCs w:val="24"/>
              </w:rPr>
            </w:pPr>
          </w:p>
        </w:tc>
        <w:tc>
          <w:tcPr>
            <w:tcW w:w="1994" w:type="dxa"/>
            <w:vMerge/>
          </w:tcPr>
          <w:p w:rsidR="00B27C2E" w:rsidRPr="003A52E8" w:rsidRDefault="00B27C2E" w:rsidP="00B27C2E">
            <w:pPr>
              <w:spacing w:line="240" w:lineRule="auto"/>
              <w:ind w:hanging="131"/>
              <w:jc w:val="center"/>
              <w:rPr>
                <w:sz w:val="24"/>
                <w:szCs w:val="24"/>
              </w:rPr>
            </w:pPr>
          </w:p>
        </w:tc>
        <w:tc>
          <w:tcPr>
            <w:tcW w:w="2251" w:type="dxa"/>
            <w:gridSpan w:val="3"/>
          </w:tcPr>
          <w:p w:rsidR="00B27C2E" w:rsidRPr="003A52E8" w:rsidRDefault="00B27C2E" w:rsidP="00C15148">
            <w:pPr>
              <w:spacing w:line="240" w:lineRule="auto"/>
              <w:ind w:hanging="131"/>
              <w:jc w:val="center"/>
              <w:rPr>
                <w:sz w:val="24"/>
                <w:szCs w:val="24"/>
              </w:rPr>
            </w:pPr>
            <w:r w:rsidRPr="003A52E8">
              <w:rPr>
                <w:sz w:val="24"/>
                <w:szCs w:val="24"/>
              </w:rPr>
              <w:t>Расчетный показатель максимально допустимого уровня территориальной доступности</w:t>
            </w:r>
          </w:p>
        </w:tc>
        <w:tc>
          <w:tcPr>
            <w:tcW w:w="2241" w:type="dxa"/>
            <w:gridSpan w:val="3"/>
          </w:tcPr>
          <w:p w:rsidR="00B27C2E" w:rsidRPr="003A52E8" w:rsidRDefault="00B27C2E" w:rsidP="00B27C2E">
            <w:pPr>
              <w:spacing w:line="240" w:lineRule="auto"/>
              <w:ind w:hanging="131"/>
              <w:jc w:val="center"/>
              <w:rPr>
                <w:sz w:val="24"/>
                <w:szCs w:val="24"/>
              </w:rPr>
            </w:pPr>
            <w:r w:rsidRPr="003A52E8">
              <w:rPr>
                <w:sz w:val="24"/>
                <w:szCs w:val="24"/>
              </w:rPr>
              <w:t>Шаговая доступность, м</w:t>
            </w:r>
          </w:p>
        </w:tc>
        <w:tc>
          <w:tcPr>
            <w:tcW w:w="2186" w:type="dxa"/>
          </w:tcPr>
          <w:p w:rsidR="00B27C2E" w:rsidRPr="003A52E8" w:rsidRDefault="00B27C2E" w:rsidP="00B27C2E">
            <w:pPr>
              <w:spacing w:line="240" w:lineRule="auto"/>
              <w:ind w:hanging="131"/>
              <w:jc w:val="center"/>
              <w:rPr>
                <w:sz w:val="24"/>
                <w:szCs w:val="24"/>
              </w:rPr>
            </w:pPr>
            <w:r w:rsidRPr="003A52E8">
              <w:rPr>
                <w:sz w:val="24"/>
                <w:szCs w:val="24"/>
              </w:rPr>
              <w:t>до 1000 м</w:t>
            </w:r>
          </w:p>
        </w:tc>
      </w:tr>
      <w:tr w:rsidR="00B27C2E" w:rsidRPr="003A52E8" w:rsidTr="00BD2355">
        <w:trPr>
          <w:trHeight w:val="162"/>
        </w:trPr>
        <w:tc>
          <w:tcPr>
            <w:tcW w:w="673" w:type="dxa"/>
            <w:vMerge w:val="restart"/>
          </w:tcPr>
          <w:p w:rsidR="00B27C2E" w:rsidRPr="003A52E8" w:rsidRDefault="00B27C2E" w:rsidP="00BD2355">
            <w:pPr>
              <w:rPr>
                <w:sz w:val="24"/>
                <w:szCs w:val="24"/>
              </w:rPr>
            </w:pPr>
            <w:r w:rsidRPr="003A52E8">
              <w:rPr>
                <w:sz w:val="24"/>
                <w:szCs w:val="24"/>
              </w:rPr>
              <w:t>3</w:t>
            </w:r>
          </w:p>
        </w:tc>
        <w:tc>
          <w:tcPr>
            <w:tcW w:w="1994" w:type="dxa"/>
            <w:vMerge w:val="restart"/>
          </w:tcPr>
          <w:p w:rsidR="00B27C2E" w:rsidRPr="003A52E8" w:rsidRDefault="00B27C2E" w:rsidP="00B27C2E">
            <w:pPr>
              <w:spacing w:line="240" w:lineRule="auto"/>
              <w:ind w:hanging="131"/>
              <w:jc w:val="center"/>
              <w:rPr>
                <w:sz w:val="24"/>
                <w:szCs w:val="24"/>
              </w:rPr>
            </w:pPr>
            <w:r w:rsidRPr="003A52E8">
              <w:rPr>
                <w:sz w:val="24"/>
                <w:szCs w:val="24"/>
              </w:rPr>
              <w:t>Спортивные залы</w:t>
            </w:r>
          </w:p>
        </w:tc>
        <w:tc>
          <w:tcPr>
            <w:tcW w:w="2251" w:type="dxa"/>
            <w:gridSpan w:val="3"/>
          </w:tcPr>
          <w:p w:rsidR="00B27C2E" w:rsidRPr="003A52E8" w:rsidRDefault="00B27C2E" w:rsidP="00B27C2E">
            <w:pPr>
              <w:spacing w:line="240" w:lineRule="auto"/>
              <w:ind w:hanging="131"/>
              <w:jc w:val="center"/>
              <w:rPr>
                <w:sz w:val="24"/>
                <w:szCs w:val="24"/>
              </w:rPr>
            </w:pPr>
            <w:r w:rsidRPr="003A52E8">
              <w:rPr>
                <w:sz w:val="24"/>
                <w:szCs w:val="24"/>
              </w:rPr>
              <w:t>Расчетные показатели минимально допустимого уровня обеспеченности</w:t>
            </w:r>
          </w:p>
        </w:tc>
        <w:tc>
          <w:tcPr>
            <w:tcW w:w="2241" w:type="dxa"/>
            <w:gridSpan w:val="3"/>
          </w:tcPr>
          <w:p w:rsidR="00B27C2E" w:rsidRPr="003A52E8" w:rsidRDefault="00B27C2E" w:rsidP="00B27C2E">
            <w:pPr>
              <w:spacing w:line="240" w:lineRule="auto"/>
              <w:ind w:hanging="131"/>
              <w:jc w:val="center"/>
              <w:rPr>
                <w:sz w:val="24"/>
                <w:szCs w:val="24"/>
              </w:rPr>
            </w:pPr>
            <w:r w:rsidRPr="003A52E8">
              <w:rPr>
                <w:sz w:val="24"/>
                <w:szCs w:val="24"/>
              </w:rPr>
              <w:t>Уровень обеспеченности, количество объектов</w:t>
            </w:r>
          </w:p>
        </w:tc>
        <w:tc>
          <w:tcPr>
            <w:tcW w:w="2186" w:type="dxa"/>
          </w:tcPr>
          <w:p w:rsidR="00B27C2E" w:rsidRPr="003A52E8" w:rsidRDefault="00B27C2E" w:rsidP="00B27C2E">
            <w:pPr>
              <w:spacing w:line="240" w:lineRule="auto"/>
              <w:ind w:hanging="131"/>
              <w:jc w:val="center"/>
              <w:rPr>
                <w:sz w:val="24"/>
                <w:szCs w:val="24"/>
              </w:rPr>
            </w:pPr>
            <w:r w:rsidRPr="003A52E8">
              <w:rPr>
                <w:sz w:val="24"/>
                <w:szCs w:val="24"/>
              </w:rPr>
              <w:t>59 на 100 тыс. жителей</w:t>
            </w:r>
          </w:p>
        </w:tc>
      </w:tr>
      <w:tr w:rsidR="00B27C2E" w:rsidRPr="003A52E8" w:rsidTr="00BD2355">
        <w:trPr>
          <w:trHeight w:val="162"/>
        </w:trPr>
        <w:tc>
          <w:tcPr>
            <w:tcW w:w="673" w:type="dxa"/>
            <w:vMerge/>
          </w:tcPr>
          <w:p w:rsidR="00B27C2E" w:rsidRPr="003A52E8" w:rsidRDefault="00B27C2E" w:rsidP="00BD2355">
            <w:pPr>
              <w:rPr>
                <w:sz w:val="24"/>
                <w:szCs w:val="24"/>
              </w:rPr>
            </w:pPr>
          </w:p>
        </w:tc>
        <w:tc>
          <w:tcPr>
            <w:tcW w:w="1994" w:type="dxa"/>
            <w:vMerge/>
          </w:tcPr>
          <w:p w:rsidR="00B27C2E" w:rsidRPr="003A52E8" w:rsidRDefault="00B27C2E" w:rsidP="00B27C2E">
            <w:pPr>
              <w:spacing w:line="240" w:lineRule="auto"/>
              <w:ind w:hanging="131"/>
              <w:jc w:val="center"/>
              <w:rPr>
                <w:sz w:val="24"/>
                <w:szCs w:val="24"/>
              </w:rPr>
            </w:pPr>
          </w:p>
        </w:tc>
        <w:tc>
          <w:tcPr>
            <w:tcW w:w="2251" w:type="dxa"/>
            <w:gridSpan w:val="3"/>
          </w:tcPr>
          <w:p w:rsidR="00B27C2E" w:rsidRPr="003A52E8" w:rsidRDefault="00B27C2E" w:rsidP="00B27C2E">
            <w:pPr>
              <w:spacing w:line="240" w:lineRule="auto"/>
              <w:ind w:hanging="131"/>
              <w:jc w:val="center"/>
              <w:rPr>
                <w:sz w:val="24"/>
                <w:szCs w:val="24"/>
              </w:rPr>
            </w:pPr>
            <w:r w:rsidRPr="003A52E8">
              <w:rPr>
                <w:sz w:val="24"/>
                <w:szCs w:val="24"/>
              </w:rPr>
              <w:t>Расчетный показатель максимально допустимого уровня территориальной доступности</w:t>
            </w:r>
          </w:p>
          <w:p w:rsidR="00B27C2E" w:rsidRPr="003A52E8" w:rsidRDefault="00B27C2E" w:rsidP="00B27C2E">
            <w:pPr>
              <w:spacing w:line="240" w:lineRule="auto"/>
              <w:ind w:hanging="131"/>
              <w:jc w:val="center"/>
              <w:rPr>
                <w:sz w:val="24"/>
                <w:szCs w:val="24"/>
              </w:rPr>
            </w:pPr>
          </w:p>
        </w:tc>
        <w:tc>
          <w:tcPr>
            <w:tcW w:w="2241" w:type="dxa"/>
            <w:gridSpan w:val="3"/>
          </w:tcPr>
          <w:p w:rsidR="00B27C2E" w:rsidRPr="003A52E8" w:rsidRDefault="00B27C2E" w:rsidP="00B27C2E">
            <w:pPr>
              <w:spacing w:line="240" w:lineRule="auto"/>
              <w:ind w:hanging="131"/>
              <w:jc w:val="center"/>
              <w:rPr>
                <w:sz w:val="24"/>
                <w:szCs w:val="24"/>
              </w:rPr>
            </w:pPr>
            <w:r w:rsidRPr="003A52E8">
              <w:rPr>
                <w:sz w:val="24"/>
                <w:szCs w:val="24"/>
              </w:rPr>
              <w:t>Транспортная доступность, м</w:t>
            </w:r>
          </w:p>
        </w:tc>
        <w:tc>
          <w:tcPr>
            <w:tcW w:w="2186" w:type="dxa"/>
          </w:tcPr>
          <w:p w:rsidR="00B27C2E" w:rsidRPr="003A52E8" w:rsidRDefault="00B27C2E" w:rsidP="00B27C2E">
            <w:pPr>
              <w:spacing w:line="240" w:lineRule="auto"/>
              <w:ind w:hanging="131"/>
              <w:jc w:val="center"/>
              <w:rPr>
                <w:sz w:val="24"/>
                <w:szCs w:val="24"/>
              </w:rPr>
            </w:pPr>
            <w:r w:rsidRPr="003A52E8">
              <w:rPr>
                <w:sz w:val="24"/>
                <w:szCs w:val="24"/>
              </w:rPr>
              <w:t>- для крупного городского поселения (город более 100 тыс. чел.) - не более 30 мин.;</w:t>
            </w:r>
          </w:p>
          <w:p w:rsidR="00B27C2E" w:rsidRPr="003A52E8" w:rsidRDefault="00B27C2E" w:rsidP="00B27C2E">
            <w:pPr>
              <w:spacing w:line="240" w:lineRule="auto"/>
              <w:ind w:hanging="131"/>
              <w:jc w:val="center"/>
              <w:rPr>
                <w:sz w:val="24"/>
                <w:szCs w:val="24"/>
              </w:rPr>
            </w:pPr>
            <w:r w:rsidRPr="003A52E8">
              <w:rPr>
                <w:sz w:val="24"/>
                <w:szCs w:val="24"/>
              </w:rPr>
              <w:t>- для малых и средних городов, в том числе поселков городского типа (от 5 тыс. до 100 тыс. чел.), а также для сельских населенных пунктов – не более 30 мин</w:t>
            </w:r>
          </w:p>
        </w:tc>
      </w:tr>
      <w:tr w:rsidR="00B27C2E" w:rsidRPr="003A52E8" w:rsidTr="00BD2355">
        <w:trPr>
          <w:trHeight w:val="1614"/>
        </w:trPr>
        <w:tc>
          <w:tcPr>
            <w:tcW w:w="673" w:type="dxa"/>
            <w:vMerge w:val="restart"/>
          </w:tcPr>
          <w:p w:rsidR="00B27C2E" w:rsidRPr="003A52E8" w:rsidRDefault="00B27C2E" w:rsidP="00BD2355">
            <w:pPr>
              <w:rPr>
                <w:sz w:val="24"/>
                <w:szCs w:val="24"/>
              </w:rPr>
            </w:pPr>
            <w:r w:rsidRPr="003A52E8">
              <w:rPr>
                <w:sz w:val="24"/>
                <w:szCs w:val="24"/>
              </w:rPr>
              <w:t>4</w:t>
            </w:r>
          </w:p>
        </w:tc>
        <w:tc>
          <w:tcPr>
            <w:tcW w:w="1994" w:type="dxa"/>
            <w:vMerge w:val="restart"/>
          </w:tcPr>
          <w:p w:rsidR="00B27C2E" w:rsidRPr="003A52E8" w:rsidRDefault="00B27C2E" w:rsidP="00B27C2E">
            <w:pPr>
              <w:spacing w:line="240" w:lineRule="auto"/>
              <w:ind w:hanging="131"/>
              <w:jc w:val="center"/>
              <w:rPr>
                <w:sz w:val="24"/>
                <w:szCs w:val="24"/>
              </w:rPr>
            </w:pPr>
            <w:r w:rsidRPr="003A52E8">
              <w:rPr>
                <w:sz w:val="24"/>
                <w:szCs w:val="24"/>
              </w:rPr>
              <w:t>Крытые плавательные бассейны, а также плавательные дорожки в физкультурно-</w:t>
            </w:r>
            <w:r w:rsidRPr="003A52E8">
              <w:rPr>
                <w:sz w:val="24"/>
                <w:szCs w:val="24"/>
              </w:rPr>
              <w:lastRenderedPageBreak/>
              <w:t>оздоровительных комплексах и спортивных комплексах, доступных для массового посещения</w:t>
            </w:r>
          </w:p>
        </w:tc>
        <w:tc>
          <w:tcPr>
            <w:tcW w:w="2235" w:type="dxa"/>
            <w:gridSpan w:val="2"/>
          </w:tcPr>
          <w:p w:rsidR="00B27C2E" w:rsidRPr="003A52E8" w:rsidRDefault="00B27C2E" w:rsidP="00B27C2E">
            <w:pPr>
              <w:spacing w:line="240" w:lineRule="auto"/>
              <w:ind w:hanging="131"/>
              <w:jc w:val="center"/>
              <w:rPr>
                <w:sz w:val="24"/>
                <w:szCs w:val="24"/>
              </w:rPr>
            </w:pPr>
            <w:r w:rsidRPr="003A52E8">
              <w:rPr>
                <w:sz w:val="24"/>
                <w:szCs w:val="24"/>
              </w:rPr>
              <w:lastRenderedPageBreak/>
              <w:t>Расчетные показатели минимально допустимого уровня обеспеченности</w:t>
            </w:r>
          </w:p>
        </w:tc>
        <w:tc>
          <w:tcPr>
            <w:tcW w:w="2231" w:type="dxa"/>
            <w:gridSpan w:val="3"/>
          </w:tcPr>
          <w:p w:rsidR="00B27C2E" w:rsidRPr="003A52E8" w:rsidRDefault="00B27C2E" w:rsidP="00B27C2E">
            <w:pPr>
              <w:spacing w:line="240" w:lineRule="auto"/>
              <w:ind w:hanging="131"/>
              <w:jc w:val="center"/>
              <w:rPr>
                <w:sz w:val="24"/>
                <w:szCs w:val="24"/>
              </w:rPr>
            </w:pPr>
            <w:r w:rsidRPr="003A52E8">
              <w:rPr>
                <w:sz w:val="24"/>
                <w:szCs w:val="24"/>
              </w:rPr>
              <w:t>Уровень обеспеченности, количество объектов</w:t>
            </w:r>
          </w:p>
        </w:tc>
        <w:tc>
          <w:tcPr>
            <w:tcW w:w="2212" w:type="dxa"/>
            <w:gridSpan w:val="2"/>
          </w:tcPr>
          <w:p w:rsidR="00B27C2E" w:rsidRPr="003A52E8" w:rsidRDefault="00B27C2E" w:rsidP="00B27C2E">
            <w:pPr>
              <w:spacing w:line="240" w:lineRule="auto"/>
              <w:ind w:hanging="131"/>
              <w:jc w:val="center"/>
              <w:rPr>
                <w:sz w:val="24"/>
                <w:szCs w:val="24"/>
              </w:rPr>
            </w:pPr>
            <w:r w:rsidRPr="003A52E8">
              <w:rPr>
                <w:sz w:val="24"/>
                <w:szCs w:val="24"/>
              </w:rPr>
              <w:t>5 на 100 тыс. жителей</w:t>
            </w:r>
          </w:p>
        </w:tc>
      </w:tr>
      <w:tr w:rsidR="00B27C2E" w:rsidRPr="003A52E8" w:rsidTr="00BD2355">
        <w:trPr>
          <w:trHeight w:val="1614"/>
        </w:trPr>
        <w:tc>
          <w:tcPr>
            <w:tcW w:w="673" w:type="dxa"/>
            <w:vMerge/>
          </w:tcPr>
          <w:p w:rsidR="00B27C2E" w:rsidRPr="003A52E8" w:rsidRDefault="00B27C2E" w:rsidP="00BD2355">
            <w:pPr>
              <w:rPr>
                <w:sz w:val="24"/>
                <w:szCs w:val="24"/>
              </w:rPr>
            </w:pPr>
          </w:p>
        </w:tc>
        <w:tc>
          <w:tcPr>
            <w:tcW w:w="1994" w:type="dxa"/>
            <w:vMerge/>
          </w:tcPr>
          <w:p w:rsidR="00B27C2E" w:rsidRPr="003A52E8" w:rsidRDefault="00B27C2E" w:rsidP="00B27C2E">
            <w:pPr>
              <w:spacing w:line="240" w:lineRule="auto"/>
              <w:ind w:hanging="131"/>
              <w:jc w:val="center"/>
              <w:rPr>
                <w:sz w:val="24"/>
                <w:szCs w:val="24"/>
              </w:rPr>
            </w:pPr>
          </w:p>
        </w:tc>
        <w:tc>
          <w:tcPr>
            <w:tcW w:w="2235" w:type="dxa"/>
            <w:gridSpan w:val="2"/>
          </w:tcPr>
          <w:p w:rsidR="00B27C2E" w:rsidRPr="003A52E8" w:rsidRDefault="00B27C2E" w:rsidP="00B27C2E">
            <w:pPr>
              <w:spacing w:line="240" w:lineRule="auto"/>
              <w:ind w:hanging="131"/>
              <w:jc w:val="center"/>
              <w:rPr>
                <w:sz w:val="24"/>
                <w:szCs w:val="24"/>
              </w:rPr>
            </w:pPr>
            <w:r w:rsidRPr="003A52E8">
              <w:rPr>
                <w:sz w:val="24"/>
                <w:szCs w:val="24"/>
              </w:rPr>
              <w:t>Расчетный показатель максимально допустимого уровня территориальной доступности</w:t>
            </w:r>
          </w:p>
          <w:p w:rsidR="00B27C2E" w:rsidRPr="003A52E8" w:rsidRDefault="00B27C2E" w:rsidP="00B27C2E">
            <w:pPr>
              <w:spacing w:line="240" w:lineRule="auto"/>
              <w:ind w:hanging="131"/>
              <w:jc w:val="center"/>
              <w:rPr>
                <w:sz w:val="24"/>
                <w:szCs w:val="24"/>
              </w:rPr>
            </w:pPr>
          </w:p>
        </w:tc>
        <w:tc>
          <w:tcPr>
            <w:tcW w:w="2231" w:type="dxa"/>
            <w:gridSpan w:val="3"/>
          </w:tcPr>
          <w:p w:rsidR="00B27C2E" w:rsidRPr="003A52E8" w:rsidRDefault="00B27C2E" w:rsidP="00B27C2E">
            <w:pPr>
              <w:spacing w:line="240" w:lineRule="auto"/>
              <w:ind w:hanging="131"/>
              <w:jc w:val="center"/>
              <w:rPr>
                <w:sz w:val="24"/>
                <w:szCs w:val="24"/>
              </w:rPr>
            </w:pPr>
            <w:r w:rsidRPr="003A52E8">
              <w:rPr>
                <w:sz w:val="24"/>
                <w:szCs w:val="24"/>
              </w:rPr>
              <w:t>Транспортная доступность, м</w:t>
            </w:r>
          </w:p>
        </w:tc>
        <w:tc>
          <w:tcPr>
            <w:tcW w:w="2212" w:type="dxa"/>
            <w:gridSpan w:val="2"/>
          </w:tcPr>
          <w:p w:rsidR="00B27C2E" w:rsidRPr="003A52E8" w:rsidRDefault="00B27C2E" w:rsidP="00B27C2E">
            <w:pPr>
              <w:spacing w:line="240" w:lineRule="auto"/>
              <w:ind w:hanging="131"/>
              <w:jc w:val="center"/>
              <w:rPr>
                <w:sz w:val="24"/>
                <w:szCs w:val="24"/>
              </w:rPr>
            </w:pPr>
            <w:r w:rsidRPr="003A52E8">
              <w:rPr>
                <w:sz w:val="24"/>
                <w:szCs w:val="24"/>
              </w:rPr>
              <w:t>- для крупного городского поселения (город более 100 тыс. чел.) - не более 30 мин.;</w:t>
            </w:r>
          </w:p>
          <w:p w:rsidR="00B27C2E" w:rsidRPr="003A52E8" w:rsidRDefault="00B27C2E" w:rsidP="00B27C2E">
            <w:pPr>
              <w:spacing w:line="240" w:lineRule="auto"/>
              <w:ind w:hanging="131"/>
              <w:jc w:val="center"/>
              <w:rPr>
                <w:sz w:val="24"/>
                <w:szCs w:val="24"/>
              </w:rPr>
            </w:pPr>
            <w:r w:rsidRPr="003A52E8">
              <w:rPr>
                <w:sz w:val="24"/>
                <w:szCs w:val="24"/>
              </w:rPr>
              <w:t>- для малых и средних городов, в том числе поселков городского типа (от 5 тыс. до 100 тыс. чел.) - не более 60 мин.;</w:t>
            </w:r>
          </w:p>
          <w:p w:rsidR="00B27C2E" w:rsidRPr="003A52E8" w:rsidRDefault="00B27C2E" w:rsidP="00B27C2E">
            <w:pPr>
              <w:spacing w:line="240" w:lineRule="auto"/>
              <w:ind w:hanging="131"/>
              <w:jc w:val="center"/>
              <w:rPr>
                <w:sz w:val="24"/>
                <w:szCs w:val="24"/>
              </w:rPr>
            </w:pPr>
            <w:r w:rsidRPr="003A52E8">
              <w:rPr>
                <w:sz w:val="24"/>
                <w:szCs w:val="24"/>
              </w:rPr>
              <w:t>- для сельских населенных пунктов– не нормируется</w:t>
            </w:r>
          </w:p>
        </w:tc>
      </w:tr>
      <w:tr w:rsidR="00B27C2E" w:rsidRPr="003A52E8" w:rsidTr="00BD2355">
        <w:trPr>
          <w:trHeight w:val="162"/>
        </w:trPr>
        <w:tc>
          <w:tcPr>
            <w:tcW w:w="673" w:type="dxa"/>
            <w:vMerge w:val="restart"/>
          </w:tcPr>
          <w:p w:rsidR="00B27C2E" w:rsidRPr="003A52E8" w:rsidRDefault="00B27C2E" w:rsidP="00BD2355">
            <w:pPr>
              <w:rPr>
                <w:sz w:val="24"/>
                <w:szCs w:val="24"/>
              </w:rPr>
            </w:pPr>
            <w:r w:rsidRPr="003A52E8">
              <w:rPr>
                <w:sz w:val="24"/>
                <w:szCs w:val="24"/>
              </w:rPr>
              <w:t>5</w:t>
            </w:r>
          </w:p>
        </w:tc>
        <w:tc>
          <w:tcPr>
            <w:tcW w:w="1994" w:type="dxa"/>
            <w:vMerge w:val="restart"/>
          </w:tcPr>
          <w:p w:rsidR="00B27C2E" w:rsidRPr="003A52E8" w:rsidRDefault="00B27C2E" w:rsidP="00B27C2E">
            <w:pPr>
              <w:spacing w:line="240" w:lineRule="auto"/>
              <w:ind w:hanging="131"/>
              <w:jc w:val="center"/>
              <w:rPr>
                <w:sz w:val="24"/>
                <w:szCs w:val="24"/>
              </w:rPr>
            </w:pPr>
            <w:r w:rsidRPr="003A52E8">
              <w:rPr>
                <w:sz w:val="24"/>
                <w:szCs w:val="24"/>
              </w:rPr>
              <w:t>Другие объекты, включая крытые спортивные объекты с искусственным льдом для занятия массовым катанием, хоккеем, фигурным катанием, конькобежным спортом, манежи, включая легкоатлетический манеж, конный манеж, футбольный манеж, лыжные базы, включая лыжные трассы, лыжероллеры трассы, биатлонные комплексы, сооружения для стрелковых видов спорта и т.д.</w:t>
            </w:r>
          </w:p>
        </w:tc>
        <w:tc>
          <w:tcPr>
            <w:tcW w:w="2235" w:type="dxa"/>
            <w:gridSpan w:val="2"/>
          </w:tcPr>
          <w:p w:rsidR="00B27C2E" w:rsidRPr="003A52E8" w:rsidRDefault="00B27C2E" w:rsidP="00B27C2E">
            <w:pPr>
              <w:spacing w:line="240" w:lineRule="auto"/>
              <w:ind w:hanging="131"/>
              <w:jc w:val="center"/>
              <w:rPr>
                <w:sz w:val="24"/>
                <w:szCs w:val="24"/>
              </w:rPr>
            </w:pPr>
            <w:r w:rsidRPr="003A52E8">
              <w:rPr>
                <w:sz w:val="24"/>
                <w:szCs w:val="24"/>
              </w:rPr>
              <w:t>Расчетные показатели минимально допустимого уровня обеспеченности</w:t>
            </w:r>
          </w:p>
        </w:tc>
        <w:tc>
          <w:tcPr>
            <w:tcW w:w="2231" w:type="dxa"/>
            <w:gridSpan w:val="3"/>
          </w:tcPr>
          <w:p w:rsidR="00B27C2E" w:rsidRPr="003A52E8" w:rsidRDefault="00B27C2E" w:rsidP="00B27C2E">
            <w:pPr>
              <w:spacing w:line="240" w:lineRule="auto"/>
              <w:ind w:hanging="131"/>
              <w:jc w:val="center"/>
              <w:rPr>
                <w:sz w:val="24"/>
                <w:szCs w:val="24"/>
              </w:rPr>
            </w:pPr>
            <w:r w:rsidRPr="003A52E8">
              <w:rPr>
                <w:sz w:val="24"/>
                <w:szCs w:val="24"/>
              </w:rPr>
              <w:t>Уровень обеспеченности, количество объектов</w:t>
            </w:r>
          </w:p>
        </w:tc>
        <w:tc>
          <w:tcPr>
            <w:tcW w:w="2212" w:type="dxa"/>
            <w:gridSpan w:val="2"/>
          </w:tcPr>
          <w:p w:rsidR="00B27C2E" w:rsidRPr="003A52E8" w:rsidRDefault="00B27C2E" w:rsidP="00B27C2E">
            <w:pPr>
              <w:spacing w:line="240" w:lineRule="auto"/>
              <w:ind w:hanging="131"/>
              <w:jc w:val="center"/>
              <w:rPr>
                <w:sz w:val="24"/>
                <w:szCs w:val="24"/>
              </w:rPr>
            </w:pPr>
            <w:r w:rsidRPr="003A52E8">
              <w:rPr>
                <w:sz w:val="24"/>
                <w:szCs w:val="24"/>
              </w:rPr>
              <w:t>46 на 100 тыс. жителей</w:t>
            </w:r>
          </w:p>
        </w:tc>
      </w:tr>
      <w:tr w:rsidR="00B27C2E" w:rsidRPr="003A52E8" w:rsidTr="00BD2355">
        <w:trPr>
          <w:trHeight w:val="162"/>
        </w:trPr>
        <w:tc>
          <w:tcPr>
            <w:tcW w:w="673" w:type="dxa"/>
            <w:vMerge/>
          </w:tcPr>
          <w:p w:rsidR="00B27C2E" w:rsidRPr="003A52E8" w:rsidRDefault="00B27C2E" w:rsidP="00BD2355">
            <w:pPr>
              <w:rPr>
                <w:sz w:val="24"/>
                <w:szCs w:val="24"/>
              </w:rPr>
            </w:pPr>
          </w:p>
        </w:tc>
        <w:tc>
          <w:tcPr>
            <w:tcW w:w="1994" w:type="dxa"/>
            <w:vMerge/>
          </w:tcPr>
          <w:p w:rsidR="00B27C2E" w:rsidRPr="003A52E8" w:rsidRDefault="00B27C2E" w:rsidP="00B27C2E">
            <w:pPr>
              <w:spacing w:line="240" w:lineRule="auto"/>
              <w:ind w:hanging="131"/>
              <w:jc w:val="center"/>
              <w:rPr>
                <w:sz w:val="24"/>
                <w:szCs w:val="24"/>
              </w:rPr>
            </w:pPr>
          </w:p>
        </w:tc>
        <w:tc>
          <w:tcPr>
            <w:tcW w:w="2235" w:type="dxa"/>
            <w:gridSpan w:val="2"/>
          </w:tcPr>
          <w:p w:rsidR="00B27C2E" w:rsidRPr="003A52E8" w:rsidRDefault="00B27C2E" w:rsidP="00B27C2E">
            <w:pPr>
              <w:spacing w:line="240" w:lineRule="auto"/>
              <w:ind w:hanging="131"/>
              <w:jc w:val="center"/>
              <w:rPr>
                <w:sz w:val="24"/>
                <w:szCs w:val="24"/>
              </w:rPr>
            </w:pPr>
            <w:r w:rsidRPr="003A52E8">
              <w:rPr>
                <w:sz w:val="24"/>
                <w:szCs w:val="24"/>
              </w:rPr>
              <w:t>Расчетный показатель максимально допустимого уровня территориальной доступности</w:t>
            </w:r>
          </w:p>
          <w:p w:rsidR="00B27C2E" w:rsidRPr="003A52E8" w:rsidRDefault="00B27C2E" w:rsidP="00B27C2E">
            <w:pPr>
              <w:spacing w:line="240" w:lineRule="auto"/>
              <w:ind w:hanging="131"/>
              <w:jc w:val="center"/>
              <w:rPr>
                <w:sz w:val="24"/>
                <w:szCs w:val="24"/>
              </w:rPr>
            </w:pPr>
          </w:p>
        </w:tc>
        <w:tc>
          <w:tcPr>
            <w:tcW w:w="2231" w:type="dxa"/>
            <w:gridSpan w:val="3"/>
          </w:tcPr>
          <w:p w:rsidR="00B27C2E" w:rsidRPr="003A52E8" w:rsidRDefault="00B27C2E" w:rsidP="00B27C2E">
            <w:pPr>
              <w:spacing w:line="240" w:lineRule="auto"/>
              <w:ind w:hanging="131"/>
              <w:jc w:val="center"/>
              <w:rPr>
                <w:sz w:val="24"/>
                <w:szCs w:val="24"/>
              </w:rPr>
            </w:pPr>
            <w:r w:rsidRPr="003A52E8">
              <w:rPr>
                <w:sz w:val="24"/>
                <w:szCs w:val="24"/>
              </w:rPr>
              <w:t>Транспортная доступность, м</w:t>
            </w:r>
          </w:p>
        </w:tc>
        <w:tc>
          <w:tcPr>
            <w:tcW w:w="2212" w:type="dxa"/>
            <w:gridSpan w:val="2"/>
          </w:tcPr>
          <w:p w:rsidR="00B27C2E" w:rsidRPr="003A52E8" w:rsidRDefault="00B27C2E" w:rsidP="00B27C2E">
            <w:pPr>
              <w:spacing w:line="240" w:lineRule="auto"/>
              <w:ind w:hanging="131"/>
              <w:jc w:val="center"/>
              <w:rPr>
                <w:sz w:val="24"/>
                <w:szCs w:val="24"/>
              </w:rPr>
            </w:pPr>
            <w:r w:rsidRPr="003A52E8">
              <w:rPr>
                <w:sz w:val="24"/>
                <w:szCs w:val="24"/>
              </w:rPr>
              <w:t>Для крытых спортивных объектов с искусственным льдом - для крупного городского поселения (город более 100 тыс. чел.) - не более 30 мин.;</w:t>
            </w:r>
          </w:p>
          <w:p w:rsidR="00B27C2E" w:rsidRPr="003A52E8" w:rsidRDefault="00B27C2E" w:rsidP="00B27C2E">
            <w:pPr>
              <w:spacing w:line="240" w:lineRule="auto"/>
              <w:ind w:hanging="131"/>
              <w:jc w:val="center"/>
              <w:rPr>
                <w:sz w:val="24"/>
                <w:szCs w:val="24"/>
              </w:rPr>
            </w:pPr>
            <w:r w:rsidRPr="003A52E8">
              <w:rPr>
                <w:sz w:val="24"/>
                <w:szCs w:val="24"/>
              </w:rPr>
              <w:t>- для малых и средних городов, в том числе поселков городского типа (от 5 тыс. до 100 тыс. чел.) - не более 60 мин.;</w:t>
            </w:r>
          </w:p>
          <w:p w:rsidR="00B27C2E" w:rsidRPr="003A52E8" w:rsidRDefault="00B27C2E" w:rsidP="00B27C2E">
            <w:pPr>
              <w:spacing w:line="240" w:lineRule="auto"/>
              <w:ind w:hanging="131"/>
              <w:jc w:val="center"/>
              <w:rPr>
                <w:sz w:val="24"/>
                <w:szCs w:val="24"/>
              </w:rPr>
            </w:pPr>
            <w:r w:rsidRPr="003A52E8">
              <w:rPr>
                <w:sz w:val="24"/>
                <w:szCs w:val="24"/>
              </w:rPr>
              <w:t>- для сельских населенных пунктов - не более 1 час 30 мин.</w:t>
            </w:r>
          </w:p>
          <w:p w:rsidR="00B27C2E" w:rsidRPr="003A52E8" w:rsidRDefault="00B27C2E" w:rsidP="00B27C2E">
            <w:pPr>
              <w:spacing w:line="240" w:lineRule="auto"/>
              <w:ind w:hanging="131"/>
              <w:jc w:val="center"/>
              <w:rPr>
                <w:sz w:val="24"/>
                <w:szCs w:val="24"/>
              </w:rPr>
            </w:pPr>
            <w:r w:rsidRPr="003A52E8">
              <w:rPr>
                <w:sz w:val="24"/>
                <w:szCs w:val="24"/>
              </w:rPr>
              <w:t xml:space="preserve">Для манежей, лыжных трасс, </w:t>
            </w:r>
            <w:r w:rsidRPr="003A52E8">
              <w:rPr>
                <w:sz w:val="24"/>
                <w:szCs w:val="24"/>
              </w:rPr>
              <w:lastRenderedPageBreak/>
              <w:t>биатлонных комплексов, спортивных баз, центров спортивной подготовки нормативы транспортной доступности не устанавливаются</w:t>
            </w:r>
          </w:p>
        </w:tc>
      </w:tr>
      <w:tr w:rsidR="00B27C2E" w:rsidRPr="003A52E8" w:rsidTr="00BD2355">
        <w:trPr>
          <w:trHeight w:val="162"/>
        </w:trPr>
        <w:tc>
          <w:tcPr>
            <w:tcW w:w="673" w:type="dxa"/>
            <w:vMerge w:val="restart"/>
          </w:tcPr>
          <w:p w:rsidR="00B27C2E" w:rsidRPr="003A52E8" w:rsidRDefault="00B27C2E" w:rsidP="00BD2355">
            <w:pPr>
              <w:rPr>
                <w:sz w:val="24"/>
                <w:szCs w:val="24"/>
              </w:rPr>
            </w:pPr>
            <w:r w:rsidRPr="003A52E8">
              <w:rPr>
                <w:sz w:val="24"/>
                <w:szCs w:val="24"/>
              </w:rPr>
              <w:lastRenderedPageBreak/>
              <w:t>6</w:t>
            </w:r>
          </w:p>
        </w:tc>
        <w:tc>
          <w:tcPr>
            <w:tcW w:w="1994" w:type="dxa"/>
            <w:vMerge w:val="restart"/>
          </w:tcPr>
          <w:p w:rsidR="00B27C2E" w:rsidRPr="003A52E8" w:rsidRDefault="00B27C2E" w:rsidP="00B27C2E">
            <w:pPr>
              <w:spacing w:line="240" w:lineRule="auto"/>
              <w:ind w:hanging="131"/>
              <w:jc w:val="center"/>
              <w:rPr>
                <w:sz w:val="24"/>
                <w:szCs w:val="24"/>
              </w:rPr>
            </w:pPr>
            <w:r w:rsidRPr="003A52E8">
              <w:rPr>
                <w:sz w:val="24"/>
                <w:szCs w:val="24"/>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 игровые площадки, дистанции, велодорожки, споты (плаза начального уровня), площадки с тренажерами, сезонные катки</w:t>
            </w:r>
          </w:p>
        </w:tc>
        <w:tc>
          <w:tcPr>
            <w:tcW w:w="2226" w:type="dxa"/>
          </w:tcPr>
          <w:p w:rsidR="00B27C2E" w:rsidRPr="003A52E8" w:rsidRDefault="00B27C2E" w:rsidP="00B27C2E">
            <w:pPr>
              <w:spacing w:line="240" w:lineRule="auto"/>
              <w:ind w:hanging="131"/>
              <w:jc w:val="center"/>
              <w:rPr>
                <w:sz w:val="24"/>
                <w:szCs w:val="24"/>
              </w:rPr>
            </w:pPr>
            <w:r w:rsidRPr="003A52E8">
              <w:rPr>
                <w:sz w:val="24"/>
                <w:szCs w:val="24"/>
              </w:rPr>
              <w:t>Расчетные показатели минимально допустимого уровня обеспеченности</w:t>
            </w:r>
          </w:p>
        </w:tc>
        <w:tc>
          <w:tcPr>
            <w:tcW w:w="2226" w:type="dxa"/>
            <w:gridSpan w:val="3"/>
          </w:tcPr>
          <w:p w:rsidR="00B27C2E" w:rsidRPr="003A52E8" w:rsidRDefault="00B27C2E" w:rsidP="00B27C2E">
            <w:pPr>
              <w:spacing w:line="240" w:lineRule="auto"/>
              <w:ind w:hanging="131"/>
              <w:jc w:val="center"/>
              <w:rPr>
                <w:sz w:val="24"/>
                <w:szCs w:val="24"/>
              </w:rPr>
            </w:pPr>
            <w:r w:rsidRPr="003A52E8">
              <w:rPr>
                <w:sz w:val="24"/>
                <w:szCs w:val="24"/>
              </w:rPr>
              <w:t>Уровень обеспеченности, количество объектов</w:t>
            </w:r>
          </w:p>
        </w:tc>
        <w:tc>
          <w:tcPr>
            <w:tcW w:w="2226" w:type="dxa"/>
            <w:gridSpan w:val="3"/>
          </w:tcPr>
          <w:p w:rsidR="00B27C2E" w:rsidRPr="003A52E8" w:rsidRDefault="00B27C2E" w:rsidP="00B27C2E">
            <w:pPr>
              <w:spacing w:line="240" w:lineRule="auto"/>
              <w:ind w:hanging="131"/>
              <w:jc w:val="center"/>
              <w:rPr>
                <w:sz w:val="24"/>
                <w:szCs w:val="24"/>
              </w:rPr>
            </w:pPr>
            <w:r w:rsidRPr="003A52E8">
              <w:rPr>
                <w:sz w:val="24"/>
                <w:szCs w:val="24"/>
              </w:rPr>
              <w:t>227 на 100 тыс. жителей</w:t>
            </w:r>
          </w:p>
        </w:tc>
      </w:tr>
      <w:tr w:rsidR="00B27C2E" w:rsidRPr="003A52E8" w:rsidTr="00BD2355">
        <w:trPr>
          <w:trHeight w:val="162"/>
        </w:trPr>
        <w:tc>
          <w:tcPr>
            <w:tcW w:w="673" w:type="dxa"/>
            <w:vMerge/>
          </w:tcPr>
          <w:p w:rsidR="00B27C2E" w:rsidRPr="003A52E8" w:rsidRDefault="00B27C2E" w:rsidP="00BD2355">
            <w:pPr>
              <w:rPr>
                <w:sz w:val="24"/>
                <w:szCs w:val="24"/>
              </w:rPr>
            </w:pPr>
          </w:p>
        </w:tc>
        <w:tc>
          <w:tcPr>
            <w:tcW w:w="1994" w:type="dxa"/>
            <w:vMerge/>
          </w:tcPr>
          <w:p w:rsidR="00B27C2E" w:rsidRPr="003A52E8" w:rsidRDefault="00B27C2E" w:rsidP="00B27C2E">
            <w:pPr>
              <w:spacing w:line="240" w:lineRule="auto"/>
              <w:ind w:hanging="131"/>
              <w:jc w:val="center"/>
              <w:rPr>
                <w:sz w:val="24"/>
                <w:szCs w:val="24"/>
              </w:rPr>
            </w:pPr>
          </w:p>
        </w:tc>
        <w:tc>
          <w:tcPr>
            <w:tcW w:w="2226" w:type="dxa"/>
          </w:tcPr>
          <w:p w:rsidR="00B27C2E" w:rsidRPr="003A52E8" w:rsidRDefault="00B27C2E" w:rsidP="00B27C2E">
            <w:pPr>
              <w:spacing w:line="240" w:lineRule="auto"/>
              <w:ind w:hanging="131"/>
              <w:jc w:val="center"/>
              <w:rPr>
                <w:sz w:val="24"/>
                <w:szCs w:val="24"/>
              </w:rPr>
            </w:pPr>
            <w:r w:rsidRPr="003A52E8">
              <w:rPr>
                <w:sz w:val="24"/>
                <w:szCs w:val="24"/>
              </w:rPr>
              <w:t>Расчетный показатель максимально допустимого уровня территориальной доступности</w:t>
            </w:r>
          </w:p>
          <w:p w:rsidR="00B27C2E" w:rsidRPr="003A52E8" w:rsidRDefault="00B27C2E" w:rsidP="00B27C2E">
            <w:pPr>
              <w:spacing w:line="240" w:lineRule="auto"/>
              <w:ind w:hanging="131"/>
              <w:jc w:val="center"/>
              <w:rPr>
                <w:sz w:val="24"/>
                <w:szCs w:val="24"/>
              </w:rPr>
            </w:pPr>
          </w:p>
        </w:tc>
        <w:tc>
          <w:tcPr>
            <w:tcW w:w="2226" w:type="dxa"/>
            <w:gridSpan w:val="3"/>
          </w:tcPr>
          <w:p w:rsidR="00B27C2E" w:rsidRPr="003A52E8" w:rsidRDefault="00B27C2E" w:rsidP="00B27C2E">
            <w:pPr>
              <w:spacing w:line="240" w:lineRule="auto"/>
              <w:ind w:hanging="131"/>
              <w:jc w:val="center"/>
              <w:rPr>
                <w:sz w:val="24"/>
                <w:szCs w:val="24"/>
              </w:rPr>
            </w:pPr>
            <w:r w:rsidRPr="003A52E8">
              <w:rPr>
                <w:sz w:val="24"/>
                <w:szCs w:val="24"/>
              </w:rPr>
              <w:t>Шаговая доступность, м</w:t>
            </w:r>
          </w:p>
        </w:tc>
        <w:tc>
          <w:tcPr>
            <w:tcW w:w="2226" w:type="dxa"/>
            <w:gridSpan w:val="3"/>
          </w:tcPr>
          <w:p w:rsidR="00B27C2E" w:rsidRPr="003A52E8" w:rsidRDefault="00B27C2E" w:rsidP="00B27C2E">
            <w:pPr>
              <w:spacing w:line="240" w:lineRule="auto"/>
              <w:ind w:hanging="131"/>
              <w:jc w:val="center"/>
              <w:rPr>
                <w:sz w:val="24"/>
                <w:szCs w:val="24"/>
              </w:rPr>
            </w:pPr>
            <w:r w:rsidRPr="003A52E8">
              <w:rPr>
                <w:sz w:val="24"/>
                <w:szCs w:val="24"/>
              </w:rPr>
              <w:t>- для крупного городского поселения (город более 100 тыс. чел.) – до 1000 м;</w:t>
            </w:r>
          </w:p>
          <w:p w:rsidR="00B27C2E" w:rsidRPr="003A52E8" w:rsidRDefault="00B27C2E" w:rsidP="00B27C2E">
            <w:pPr>
              <w:spacing w:line="240" w:lineRule="auto"/>
              <w:ind w:hanging="131"/>
              <w:jc w:val="center"/>
              <w:rPr>
                <w:sz w:val="24"/>
                <w:szCs w:val="24"/>
              </w:rPr>
            </w:pPr>
            <w:r w:rsidRPr="003A52E8">
              <w:rPr>
                <w:sz w:val="24"/>
                <w:szCs w:val="24"/>
              </w:rPr>
              <w:t>- для малых и средних городов, в том числе поселков городского типа (от 5 тыс. до 100 тыс. чел.) - не нормируется;</w:t>
            </w:r>
          </w:p>
          <w:p w:rsidR="00B27C2E" w:rsidRPr="003A52E8" w:rsidRDefault="00B27C2E" w:rsidP="00B27C2E">
            <w:pPr>
              <w:spacing w:line="240" w:lineRule="auto"/>
              <w:ind w:hanging="131"/>
              <w:jc w:val="center"/>
              <w:rPr>
                <w:sz w:val="24"/>
                <w:szCs w:val="24"/>
              </w:rPr>
            </w:pPr>
            <w:r w:rsidRPr="003A52E8">
              <w:rPr>
                <w:sz w:val="24"/>
                <w:szCs w:val="24"/>
              </w:rPr>
              <w:t>- для сельских населенных пунктов– не нормируется</w:t>
            </w:r>
          </w:p>
        </w:tc>
      </w:tr>
      <w:tr w:rsidR="00B27C2E" w:rsidRPr="003A52E8" w:rsidTr="00BD2355">
        <w:tc>
          <w:tcPr>
            <w:tcW w:w="9345" w:type="dxa"/>
            <w:gridSpan w:val="9"/>
          </w:tcPr>
          <w:p w:rsidR="00B27C2E" w:rsidRPr="003A52E8" w:rsidRDefault="00B27C2E" w:rsidP="003A52E8">
            <w:pPr>
              <w:jc w:val="both"/>
              <w:rPr>
                <w:sz w:val="24"/>
                <w:szCs w:val="24"/>
              </w:rPr>
            </w:pPr>
            <w:r w:rsidRPr="003A52E8">
              <w:rPr>
                <w:sz w:val="24"/>
                <w:szCs w:val="24"/>
              </w:rPr>
              <w:t>Примечание: при определении нормативной потребности в объектах физической культуры и спорта необходимо учитывать усредненный норматив единой пропускной способности 122 человека на 1 тыс. населения</w:t>
            </w:r>
          </w:p>
        </w:tc>
      </w:tr>
    </w:tbl>
    <w:p w:rsidR="00B27C2E" w:rsidRDefault="00BE55CF" w:rsidP="003A52E8">
      <w:pPr>
        <w:jc w:val="right"/>
        <w:rPr>
          <w:szCs w:val="28"/>
        </w:rPr>
      </w:pPr>
      <w:r>
        <w:rPr>
          <w:szCs w:val="28"/>
        </w:rPr>
        <w:t>»</w:t>
      </w:r>
    </w:p>
    <w:sectPr w:rsidR="00B27C2E" w:rsidSect="00342E56">
      <w:pgSz w:w="11906" w:h="16838" w:code="9"/>
      <w:pgMar w:top="1134" w:right="566"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1BF" w:rsidRDefault="00E461BF" w:rsidP="00855499">
      <w:pPr>
        <w:spacing w:after="0" w:line="240" w:lineRule="auto"/>
      </w:pPr>
      <w:r>
        <w:separator/>
      </w:r>
    </w:p>
  </w:endnote>
  <w:endnote w:type="continuationSeparator" w:id="0">
    <w:p w:rsidR="00E461BF" w:rsidRDefault="00E461BF" w:rsidP="0085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1BF" w:rsidRDefault="00E461BF" w:rsidP="00855499">
      <w:pPr>
        <w:spacing w:after="0" w:line="240" w:lineRule="auto"/>
      </w:pPr>
      <w:r>
        <w:separator/>
      </w:r>
    </w:p>
  </w:footnote>
  <w:footnote w:type="continuationSeparator" w:id="0">
    <w:p w:rsidR="00E461BF" w:rsidRDefault="00E461BF" w:rsidP="00855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065E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CA5F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48D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EE0F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261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E85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BC77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10D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E46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A3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F693D"/>
    <w:multiLevelType w:val="hybridMultilevel"/>
    <w:tmpl w:val="A4FA7F8E"/>
    <w:lvl w:ilvl="0" w:tplc="DCC4DDE2">
      <w:start w:val="1"/>
      <w:numFmt w:val="decimal"/>
      <w:lvlText w:val="%1."/>
      <w:lvlJc w:val="left"/>
      <w:pPr>
        <w:ind w:left="1395" w:hanging="139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37A53E9"/>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52F13A7"/>
    <w:multiLevelType w:val="hybridMultilevel"/>
    <w:tmpl w:val="5EA2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037136"/>
    <w:multiLevelType w:val="multilevel"/>
    <w:tmpl w:val="5C9AE7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9"/>
    <w:rsid w:val="00001546"/>
    <w:rsid w:val="00001C78"/>
    <w:rsid w:val="00001D37"/>
    <w:rsid w:val="00006063"/>
    <w:rsid w:val="0000687E"/>
    <w:rsid w:val="000069C5"/>
    <w:rsid w:val="0001765F"/>
    <w:rsid w:val="00022E6E"/>
    <w:rsid w:val="00023AAC"/>
    <w:rsid w:val="00023B48"/>
    <w:rsid w:val="000259D7"/>
    <w:rsid w:val="00025E9A"/>
    <w:rsid w:val="00026298"/>
    <w:rsid w:val="00027377"/>
    <w:rsid w:val="00027AC7"/>
    <w:rsid w:val="00030755"/>
    <w:rsid w:val="000309BE"/>
    <w:rsid w:val="000322EB"/>
    <w:rsid w:val="00032640"/>
    <w:rsid w:val="0003266C"/>
    <w:rsid w:val="00034B66"/>
    <w:rsid w:val="00035DA8"/>
    <w:rsid w:val="00036413"/>
    <w:rsid w:val="00041D38"/>
    <w:rsid w:val="00042826"/>
    <w:rsid w:val="0004309D"/>
    <w:rsid w:val="00045779"/>
    <w:rsid w:val="00046254"/>
    <w:rsid w:val="000554C4"/>
    <w:rsid w:val="000564EC"/>
    <w:rsid w:val="000610EA"/>
    <w:rsid w:val="00062C5B"/>
    <w:rsid w:val="00064076"/>
    <w:rsid w:val="00064119"/>
    <w:rsid w:val="00070D2E"/>
    <w:rsid w:val="000728D6"/>
    <w:rsid w:val="0007551A"/>
    <w:rsid w:val="00075791"/>
    <w:rsid w:val="000806BF"/>
    <w:rsid w:val="00080E40"/>
    <w:rsid w:val="000858F2"/>
    <w:rsid w:val="000A1404"/>
    <w:rsid w:val="000A3FF7"/>
    <w:rsid w:val="000A689E"/>
    <w:rsid w:val="000B3167"/>
    <w:rsid w:val="000B7B65"/>
    <w:rsid w:val="000C583B"/>
    <w:rsid w:val="000C5CA9"/>
    <w:rsid w:val="000D4DEC"/>
    <w:rsid w:val="000D5366"/>
    <w:rsid w:val="000D5F3E"/>
    <w:rsid w:val="000D6B51"/>
    <w:rsid w:val="000D74D1"/>
    <w:rsid w:val="000E0FA7"/>
    <w:rsid w:val="000E1827"/>
    <w:rsid w:val="000E2DC7"/>
    <w:rsid w:val="000E629F"/>
    <w:rsid w:val="000E7553"/>
    <w:rsid w:val="000F08D2"/>
    <w:rsid w:val="000F35AA"/>
    <w:rsid w:val="000F3AED"/>
    <w:rsid w:val="000F5556"/>
    <w:rsid w:val="000F62CC"/>
    <w:rsid w:val="001047A6"/>
    <w:rsid w:val="001050CE"/>
    <w:rsid w:val="0011120B"/>
    <w:rsid w:val="0011220A"/>
    <w:rsid w:val="00113526"/>
    <w:rsid w:val="001136A3"/>
    <w:rsid w:val="00115316"/>
    <w:rsid w:val="00116E3D"/>
    <w:rsid w:val="0012284D"/>
    <w:rsid w:val="00123D4B"/>
    <w:rsid w:val="00124C1F"/>
    <w:rsid w:val="00131924"/>
    <w:rsid w:val="00132E4E"/>
    <w:rsid w:val="0013398C"/>
    <w:rsid w:val="001354A9"/>
    <w:rsid w:val="001377F9"/>
    <w:rsid w:val="001410D3"/>
    <w:rsid w:val="00143E67"/>
    <w:rsid w:val="001448EC"/>
    <w:rsid w:val="00144CD0"/>
    <w:rsid w:val="00147542"/>
    <w:rsid w:val="00151C3F"/>
    <w:rsid w:val="0015248A"/>
    <w:rsid w:val="00154675"/>
    <w:rsid w:val="00161A2B"/>
    <w:rsid w:val="00162090"/>
    <w:rsid w:val="00162A1A"/>
    <w:rsid w:val="00165AF5"/>
    <w:rsid w:val="00170A2E"/>
    <w:rsid w:val="00172D1C"/>
    <w:rsid w:val="00186034"/>
    <w:rsid w:val="001877FE"/>
    <w:rsid w:val="0019277A"/>
    <w:rsid w:val="001A078E"/>
    <w:rsid w:val="001A0EF1"/>
    <w:rsid w:val="001A11AD"/>
    <w:rsid w:val="001A4CD1"/>
    <w:rsid w:val="001A517C"/>
    <w:rsid w:val="001A5B9E"/>
    <w:rsid w:val="001A6C4D"/>
    <w:rsid w:val="001B0887"/>
    <w:rsid w:val="001B0CBF"/>
    <w:rsid w:val="001B15FC"/>
    <w:rsid w:val="001B1F8E"/>
    <w:rsid w:val="001B5CD5"/>
    <w:rsid w:val="001C1736"/>
    <w:rsid w:val="001C29EF"/>
    <w:rsid w:val="001C4A7D"/>
    <w:rsid w:val="001C5E9E"/>
    <w:rsid w:val="001C6B2C"/>
    <w:rsid w:val="001D372A"/>
    <w:rsid w:val="001E0B73"/>
    <w:rsid w:val="001E5401"/>
    <w:rsid w:val="001E6016"/>
    <w:rsid w:val="001F0482"/>
    <w:rsid w:val="001F2ED4"/>
    <w:rsid w:val="001F524D"/>
    <w:rsid w:val="00200D05"/>
    <w:rsid w:val="00203F17"/>
    <w:rsid w:val="00204CD4"/>
    <w:rsid w:val="0020575D"/>
    <w:rsid w:val="002127E1"/>
    <w:rsid w:val="0021648C"/>
    <w:rsid w:val="00220894"/>
    <w:rsid w:val="0022441A"/>
    <w:rsid w:val="0022465A"/>
    <w:rsid w:val="00226179"/>
    <w:rsid w:val="0022778B"/>
    <w:rsid w:val="00227B69"/>
    <w:rsid w:val="00231428"/>
    <w:rsid w:val="00231DBD"/>
    <w:rsid w:val="00237C9E"/>
    <w:rsid w:val="00243A35"/>
    <w:rsid w:val="00245920"/>
    <w:rsid w:val="002463FB"/>
    <w:rsid w:val="00250A77"/>
    <w:rsid w:val="002576D4"/>
    <w:rsid w:val="00257943"/>
    <w:rsid w:val="00262CE6"/>
    <w:rsid w:val="00270220"/>
    <w:rsid w:val="00272A01"/>
    <w:rsid w:val="00274566"/>
    <w:rsid w:val="002773D7"/>
    <w:rsid w:val="0028048E"/>
    <w:rsid w:val="00280AD3"/>
    <w:rsid w:val="00281007"/>
    <w:rsid w:val="0028405B"/>
    <w:rsid w:val="0028651B"/>
    <w:rsid w:val="00291CD7"/>
    <w:rsid w:val="002A0512"/>
    <w:rsid w:val="002A0F32"/>
    <w:rsid w:val="002A322A"/>
    <w:rsid w:val="002A3627"/>
    <w:rsid w:val="002A387C"/>
    <w:rsid w:val="002A597C"/>
    <w:rsid w:val="002B0865"/>
    <w:rsid w:val="002B4780"/>
    <w:rsid w:val="002C0674"/>
    <w:rsid w:val="002C07AF"/>
    <w:rsid w:val="002C3716"/>
    <w:rsid w:val="002C429D"/>
    <w:rsid w:val="002C4AB6"/>
    <w:rsid w:val="002C652D"/>
    <w:rsid w:val="002C723D"/>
    <w:rsid w:val="002D6CE3"/>
    <w:rsid w:val="002F08AC"/>
    <w:rsid w:val="002F5E8F"/>
    <w:rsid w:val="002F65C1"/>
    <w:rsid w:val="00301240"/>
    <w:rsid w:val="00301526"/>
    <w:rsid w:val="00304734"/>
    <w:rsid w:val="00304DB9"/>
    <w:rsid w:val="00310726"/>
    <w:rsid w:val="00313B60"/>
    <w:rsid w:val="00314560"/>
    <w:rsid w:val="0031606B"/>
    <w:rsid w:val="0032139C"/>
    <w:rsid w:val="003218F0"/>
    <w:rsid w:val="00322EC8"/>
    <w:rsid w:val="00335A2F"/>
    <w:rsid w:val="003425BA"/>
    <w:rsid w:val="00342D77"/>
    <w:rsid w:val="00342E56"/>
    <w:rsid w:val="003467C6"/>
    <w:rsid w:val="00347072"/>
    <w:rsid w:val="00347399"/>
    <w:rsid w:val="0035213F"/>
    <w:rsid w:val="00352829"/>
    <w:rsid w:val="003536C8"/>
    <w:rsid w:val="00355AD4"/>
    <w:rsid w:val="00362104"/>
    <w:rsid w:val="00363841"/>
    <w:rsid w:val="003661DB"/>
    <w:rsid w:val="00367BCA"/>
    <w:rsid w:val="00370F12"/>
    <w:rsid w:val="00375828"/>
    <w:rsid w:val="00375C2B"/>
    <w:rsid w:val="00376CC5"/>
    <w:rsid w:val="00380653"/>
    <w:rsid w:val="00383591"/>
    <w:rsid w:val="00384B28"/>
    <w:rsid w:val="00384D74"/>
    <w:rsid w:val="00386F37"/>
    <w:rsid w:val="00390459"/>
    <w:rsid w:val="00391684"/>
    <w:rsid w:val="00393477"/>
    <w:rsid w:val="003A022C"/>
    <w:rsid w:val="003A0D3F"/>
    <w:rsid w:val="003A109E"/>
    <w:rsid w:val="003A2655"/>
    <w:rsid w:val="003A52E8"/>
    <w:rsid w:val="003A645A"/>
    <w:rsid w:val="003B2437"/>
    <w:rsid w:val="003C0646"/>
    <w:rsid w:val="003C2FCF"/>
    <w:rsid w:val="003C6270"/>
    <w:rsid w:val="003C68CB"/>
    <w:rsid w:val="003D24D5"/>
    <w:rsid w:val="003D286F"/>
    <w:rsid w:val="003D4B6A"/>
    <w:rsid w:val="003E3114"/>
    <w:rsid w:val="003E50C6"/>
    <w:rsid w:val="003E7511"/>
    <w:rsid w:val="003E7EF3"/>
    <w:rsid w:val="003F254A"/>
    <w:rsid w:val="003F2A17"/>
    <w:rsid w:val="003F4364"/>
    <w:rsid w:val="003F4EC4"/>
    <w:rsid w:val="003F56BC"/>
    <w:rsid w:val="00400B4D"/>
    <w:rsid w:val="00405783"/>
    <w:rsid w:val="0040589C"/>
    <w:rsid w:val="004079DB"/>
    <w:rsid w:val="00412147"/>
    <w:rsid w:val="00412FF2"/>
    <w:rsid w:val="00415862"/>
    <w:rsid w:val="00421737"/>
    <w:rsid w:val="004221AD"/>
    <w:rsid w:val="00424EDA"/>
    <w:rsid w:val="00425C46"/>
    <w:rsid w:val="00426536"/>
    <w:rsid w:val="004266AA"/>
    <w:rsid w:val="00426875"/>
    <w:rsid w:val="00426DC1"/>
    <w:rsid w:val="0042783C"/>
    <w:rsid w:val="00430633"/>
    <w:rsid w:val="00433D4D"/>
    <w:rsid w:val="004341E5"/>
    <w:rsid w:val="00437CC7"/>
    <w:rsid w:val="00442549"/>
    <w:rsid w:val="004425EE"/>
    <w:rsid w:val="004431EE"/>
    <w:rsid w:val="004506DF"/>
    <w:rsid w:val="00451AA2"/>
    <w:rsid w:val="004526AF"/>
    <w:rsid w:val="0046338D"/>
    <w:rsid w:val="004633EB"/>
    <w:rsid w:val="00464DFE"/>
    <w:rsid w:val="004669A5"/>
    <w:rsid w:val="004711F0"/>
    <w:rsid w:val="00472B62"/>
    <w:rsid w:val="0047434D"/>
    <w:rsid w:val="00474A67"/>
    <w:rsid w:val="00474C92"/>
    <w:rsid w:val="00475615"/>
    <w:rsid w:val="00481094"/>
    <w:rsid w:val="0048405E"/>
    <w:rsid w:val="004852F6"/>
    <w:rsid w:val="00485ED3"/>
    <w:rsid w:val="00486FE4"/>
    <w:rsid w:val="0049256C"/>
    <w:rsid w:val="00493C91"/>
    <w:rsid w:val="00494718"/>
    <w:rsid w:val="00496837"/>
    <w:rsid w:val="00497839"/>
    <w:rsid w:val="00497AF6"/>
    <w:rsid w:val="004A07D4"/>
    <w:rsid w:val="004A0F1A"/>
    <w:rsid w:val="004A47FA"/>
    <w:rsid w:val="004B1D53"/>
    <w:rsid w:val="004B23CA"/>
    <w:rsid w:val="004B6842"/>
    <w:rsid w:val="004C1FED"/>
    <w:rsid w:val="004C5B7E"/>
    <w:rsid w:val="004C741E"/>
    <w:rsid w:val="004C770F"/>
    <w:rsid w:val="004C7BE7"/>
    <w:rsid w:val="004D248E"/>
    <w:rsid w:val="004D5465"/>
    <w:rsid w:val="004D55FD"/>
    <w:rsid w:val="004D5D9F"/>
    <w:rsid w:val="004D61F0"/>
    <w:rsid w:val="004E04F2"/>
    <w:rsid w:val="004E0F47"/>
    <w:rsid w:val="004E13E1"/>
    <w:rsid w:val="004E5171"/>
    <w:rsid w:val="004E5ECD"/>
    <w:rsid w:val="004F22B8"/>
    <w:rsid w:val="004F7E92"/>
    <w:rsid w:val="00503C97"/>
    <w:rsid w:val="00510880"/>
    <w:rsid w:val="00510FB5"/>
    <w:rsid w:val="00514F7C"/>
    <w:rsid w:val="0051618F"/>
    <w:rsid w:val="0052002C"/>
    <w:rsid w:val="005228FA"/>
    <w:rsid w:val="00526AF2"/>
    <w:rsid w:val="00530D35"/>
    <w:rsid w:val="005316FC"/>
    <w:rsid w:val="00531FF4"/>
    <w:rsid w:val="00532F07"/>
    <w:rsid w:val="00541AE7"/>
    <w:rsid w:val="00544844"/>
    <w:rsid w:val="00545B75"/>
    <w:rsid w:val="00545F57"/>
    <w:rsid w:val="005463E1"/>
    <w:rsid w:val="00552EEC"/>
    <w:rsid w:val="00562238"/>
    <w:rsid w:val="00563CB9"/>
    <w:rsid w:val="00563E45"/>
    <w:rsid w:val="00564B5C"/>
    <w:rsid w:val="00570A2D"/>
    <w:rsid w:val="005839FC"/>
    <w:rsid w:val="00585340"/>
    <w:rsid w:val="0058696C"/>
    <w:rsid w:val="00587B14"/>
    <w:rsid w:val="00587E7B"/>
    <w:rsid w:val="00593679"/>
    <w:rsid w:val="0059402D"/>
    <w:rsid w:val="005963EB"/>
    <w:rsid w:val="005979F1"/>
    <w:rsid w:val="005A19C5"/>
    <w:rsid w:val="005A4FD9"/>
    <w:rsid w:val="005A5197"/>
    <w:rsid w:val="005A53CB"/>
    <w:rsid w:val="005A63E2"/>
    <w:rsid w:val="005A79CA"/>
    <w:rsid w:val="005B0A56"/>
    <w:rsid w:val="005B473D"/>
    <w:rsid w:val="005B4B06"/>
    <w:rsid w:val="005B62FD"/>
    <w:rsid w:val="005C4561"/>
    <w:rsid w:val="005C52FD"/>
    <w:rsid w:val="005D4F1F"/>
    <w:rsid w:val="005D63C2"/>
    <w:rsid w:val="005D6D94"/>
    <w:rsid w:val="005E5D99"/>
    <w:rsid w:val="005E69A9"/>
    <w:rsid w:val="005E7000"/>
    <w:rsid w:val="005F0DD3"/>
    <w:rsid w:val="005F34EC"/>
    <w:rsid w:val="005F48D3"/>
    <w:rsid w:val="005F5D88"/>
    <w:rsid w:val="005F77C4"/>
    <w:rsid w:val="006001C8"/>
    <w:rsid w:val="00601079"/>
    <w:rsid w:val="00602D81"/>
    <w:rsid w:val="00603EAC"/>
    <w:rsid w:val="0060517A"/>
    <w:rsid w:val="0061153D"/>
    <w:rsid w:val="00613F69"/>
    <w:rsid w:val="00616F0A"/>
    <w:rsid w:val="00617C2E"/>
    <w:rsid w:val="0062452E"/>
    <w:rsid w:val="00634A4B"/>
    <w:rsid w:val="00634F57"/>
    <w:rsid w:val="00636145"/>
    <w:rsid w:val="00642C07"/>
    <w:rsid w:val="00643629"/>
    <w:rsid w:val="0064464D"/>
    <w:rsid w:val="006470BF"/>
    <w:rsid w:val="00647D1A"/>
    <w:rsid w:val="00651177"/>
    <w:rsid w:val="00652ECB"/>
    <w:rsid w:val="00653E66"/>
    <w:rsid w:val="006546D1"/>
    <w:rsid w:val="00654BC6"/>
    <w:rsid w:val="00660584"/>
    <w:rsid w:val="00660D6E"/>
    <w:rsid w:val="006624BF"/>
    <w:rsid w:val="0066366D"/>
    <w:rsid w:val="00666DB4"/>
    <w:rsid w:val="006745F3"/>
    <w:rsid w:val="006752C0"/>
    <w:rsid w:val="0067750A"/>
    <w:rsid w:val="00683B32"/>
    <w:rsid w:val="00684910"/>
    <w:rsid w:val="00685CED"/>
    <w:rsid w:val="00685D1A"/>
    <w:rsid w:val="00686739"/>
    <w:rsid w:val="00690265"/>
    <w:rsid w:val="00691980"/>
    <w:rsid w:val="00693C0D"/>
    <w:rsid w:val="0069431C"/>
    <w:rsid w:val="0069476E"/>
    <w:rsid w:val="00695796"/>
    <w:rsid w:val="00696734"/>
    <w:rsid w:val="00696B7D"/>
    <w:rsid w:val="006971B9"/>
    <w:rsid w:val="006A178D"/>
    <w:rsid w:val="006A2171"/>
    <w:rsid w:val="006A29B6"/>
    <w:rsid w:val="006A6BC2"/>
    <w:rsid w:val="006A70B5"/>
    <w:rsid w:val="006B2CD2"/>
    <w:rsid w:val="006B53D8"/>
    <w:rsid w:val="006B6C72"/>
    <w:rsid w:val="006B74CB"/>
    <w:rsid w:val="006C29DD"/>
    <w:rsid w:val="006C5A9C"/>
    <w:rsid w:val="006C79C0"/>
    <w:rsid w:val="006D0890"/>
    <w:rsid w:val="006D1820"/>
    <w:rsid w:val="006D3F4E"/>
    <w:rsid w:val="006D51E1"/>
    <w:rsid w:val="006D68C8"/>
    <w:rsid w:val="006E5CBA"/>
    <w:rsid w:val="006F08A3"/>
    <w:rsid w:val="006F5327"/>
    <w:rsid w:val="0070251C"/>
    <w:rsid w:val="0070483C"/>
    <w:rsid w:val="00706DAE"/>
    <w:rsid w:val="00706F73"/>
    <w:rsid w:val="0071105A"/>
    <w:rsid w:val="00711BAE"/>
    <w:rsid w:val="00713330"/>
    <w:rsid w:val="007141C2"/>
    <w:rsid w:val="00715164"/>
    <w:rsid w:val="00717473"/>
    <w:rsid w:val="00717A74"/>
    <w:rsid w:val="00717BD9"/>
    <w:rsid w:val="0072560A"/>
    <w:rsid w:val="00725C77"/>
    <w:rsid w:val="007275EF"/>
    <w:rsid w:val="00730459"/>
    <w:rsid w:val="00731F7F"/>
    <w:rsid w:val="00734535"/>
    <w:rsid w:val="00736A65"/>
    <w:rsid w:val="0074272C"/>
    <w:rsid w:val="0074370A"/>
    <w:rsid w:val="00743AB6"/>
    <w:rsid w:val="00744E7B"/>
    <w:rsid w:val="00747B7F"/>
    <w:rsid w:val="00752771"/>
    <w:rsid w:val="007535EF"/>
    <w:rsid w:val="00753CE4"/>
    <w:rsid w:val="0075415C"/>
    <w:rsid w:val="00760927"/>
    <w:rsid w:val="00760942"/>
    <w:rsid w:val="007616A7"/>
    <w:rsid w:val="0076521C"/>
    <w:rsid w:val="00766369"/>
    <w:rsid w:val="00766DC4"/>
    <w:rsid w:val="00771716"/>
    <w:rsid w:val="007741F7"/>
    <w:rsid w:val="007820B3"/>
    <w:rsid w:val="007833E0"/>
    <w:rsid w:val="00786B86"/>
    <w:rsid w:val="007A0779"/>
    <w:rsid w:val="007A07E0"/>
    <w:rsid w:val="007A141F"/>
    <w:rsid w:val="007A4EBE"/>
    <w:rsid w:val="007A5977"/>
    <w:rsid w:val="007A6CF1"/>
    <w:rsid w:val="007B19E5"/>
    <w:rsid w:val="007B1BC0"/>
    <w:rsid w:val="007B566D"/>
    <w:rsid w:val="007B73F7"/>
    <w:rsid w:val="007B76F4"/>
    <w:rsid w:val="007C54E1"/>
    <w:rsid w:val="007C6196"/>
    <w:rsid w:val="007C6976"/>
    <w:rsid w:val="007D0339"/>
    <w:rsid w:val="007D0D7D"/>
    <w:rsid w:val="007D1011"/>
    <w:rsid w:val="007D51C8"/>
    <w:rsid w:val="007D55FB"/>
    <w:rsid w:val="007E11D5"/>
    <w:rsid w:val="007E2B5A"/>
    <w:rsid w:val="007E4717"/>
    <w:rsid w:val="007E6D03"/>
    <w:rsid w:val="007F011A"/>
    <w:rsid w:val="007F0C9A"/>
    <w:rsid w:val="007F1402"/>
    <w:rsid w:val="007F256F"/>
    <w:rsid w:val="007F282B"/>
    <w:rsid w:val="007F2CF6"/>
    <w:rsid w:val="007F598F"/>
    <w:rsid w:val="007F7326"/>
    <w:rsid w:val="007F7C7F"/>
    <w:rsid w:val="008011A5"/>
    <w:rsid w:val="00803461"/>
    <w:rsid w:val="008062E5"/>
    <w:rsid w:val="00810A71"/>
    <w:rsid w:val="00815B35"/>
    <w:rsid w:val="0082067C"/>
    <w:rsid w:val="008237E1"/>
    <w:rsid w:val="00824057"/>
    <w:rsid w:val="0082432A"/>
    <w:rsid w:val="00824560"/>
    <w:rsid w:val="0082665E"/>
    <w:rsid w:val="008305B7"/>
    <w:rsid w:val="00836F77"/>
    <w:rsid w:val="00841658"/>
    <w:rsid w:val="0084279D"/>
    <w:rsid w:val="00850E6D"/>
    <w:rsid w:val="0085378E"/>
    <w:rsid w:val="00855499"/>
    <w:rsid w:val="00856748"/>
    <w:rsid w:val="008607E1"/>
    <w:rsid w:val="0086182E"/>
    <w:rsid w:val="00864443"/>
    <w:rsid w:val="00865DCC"/>
    <w:rsid w:val="00867E02"/>
    <w:rsid w:val="008707E6"/>
    <w:rsid w:val="0087095B"/>
    <w:rsid w:val="00871776"/>
    <w:rsid w:val="00872830"/>
    <w:rsid w:val="00872B07"/>
    <w:rsid w:val="00873AAA"/>
    <w:rsid w:val="008748BA"/>
    <w:rsid w:val="00874A69"/>
    <w:rsid w:val="0087632A"/>
    <w:rsid w:val="00876FD8"/>
    <w:rsid w:val="0087716A"/>
    <w:rsid w:val="00877FE8"/>
    <w:rsid w:val="008802EE"/>
    <w:rsid w:val="008812AE"/>
    <w:rsid w:val="008841B4"/>
    <w:rsid w:val="0088561A"/>
    <w:rsid w:val="0088578F"/>
    <w:rsid w:val="00885FAE"/>
    <w:rsid w:val="00891B80"/>
    <w:rsid w:val="00892155"/>
    <w:rsid w:val="00894D49"/>
    <w:rsid w:val="00897A42"/>
    <w:rsid w:val="008A1820"/>
    <w:rsid w:val="008B05A6"/>
    <w:rsid w:val="008B2E30"/>
    <w:rsid w:val="008B5B38"/>
    <w:rsid w:val="008C09B0"/>
    <w:rsid w:val="008C0CCC"/>
    <w:rsid w:val="008C573E"/>
    <w:rsid w:val="008C7663"/>
    <w:rsid w:val="008D05A9"/>
    <w:rsid w:val="008D1DD0"/>
    <w:rsid w:val="008D3D5C"/>
    <w:rsid w:val="008D6730"/>
    <w:rsid w:val="008D7887"/>
    <w:rsid w:val="008E0B33"/>
    <w:rsid w:val="008E1477"/>
    <w:rsid w:val="008E26C7"/>
    <w:rsid w:val="008E4C98"/>
    <w:rsid w:val="008E7775"/>
    <w:rsid w:val="008F06B6"/>
    <w:rsid w:val="008F19E6"/>
    <w:rsid w:val="008F57A0"/>
    <w:rsid w:val="008F5F69"/>
    <w:rsid w:val="009008B9"/>
    <w:rsid w:val="00912ACD"/>
    <w:rsid w:val="00912EA0"/>
    <w:rsid w:val="0091477E"/>
    <w:rsid w:val="00914EF2"/>
    <w:rsid w:val="009168A9"/>
    <w:rsid w:val="00921F32"/>
    <w:rsid w:val="00925E92"/>
    <w:rsid w:val="00926B24"/>
    <w:rsid w:val="00926C5C"/>
    <w:rsid w:val="009274AB"/>
    <w:rsid w:val="009300E0"/>
    <w:rsid w:val="009307C1"/>
    <w:rsid w:val="00930B22"/>
    <w:rsid w:val="009310DF"/>
    <w:rsid w:val="009327DD"/>
    <w:rsid w:val="00933F8C"/>
    <w:rsid w:val="0093453D"/>
    <w:rsid w:val="0093688F"/>
    <w:rsid w:val="0093729E"/>
    <w:rsid w:val="0093787E"/>
    <w:rsid w:val="0094579E"/>
    <w:rsid w:val="00946132"/>
    <w:rsid w:val="00946C23"/>
    <w:rsid w:val="00947A8D"/>
    <w:rsid w:val="00950158"/>
    <w:rsid w:val="00950BF9"/>
    <w:rsid w:val="009527EE"/>
    <w:rsid w:val="00953517"/>
    <w:rsid w:val="00962D5E"/>
    <w:rsid w:val="00963C0B"/>
    <w:rsid w:val="00966E64"/>
    <w:rsid w:val="009800E8"/>
    <w:rsid w:val="00980551"/>
    <w:rsid w:val="00983E1B"/>
    <w:rsid w:val="009942B2"/>
    <w:rsid w:val="00995050"/>
    <w:rsid w:val="009A00A6"/>
    <w:rsid w:val="009A02B3"/>
    <w:rsid w:val="009A4CAA"/>
    <w:rsid w:val="009A4F6A"/>
    <w:rsid w:val="009A57EB"/>
    <w:rsid w:val="009B3174"/>
    <w:rsid w:val="009B769E"/>
    <w:rsid w:val="009C2954"/>
    <w:rsid w:val="009C2AF3"/>
    <w:rsid w:val="009C357F"/>
    <w:rsid w:val="009C7C32"/>
    <w:rsid w:val="009D3D87"/>
    <w:rsid w:val="009D7ED4"/>
    <w:rsid w:val="009E5DE3"/>
    <w:rsid w:val="009E62D5"/>
    <w:rsid w:val="009F2E81"/>
    <w:rsid w:val="009F466B"/>
    <w:rsid w:val="009F547E"/>
    <w:rsid w:val="009F6B21"/>
    <w:rsid w:val="00A06A7A"/>
    <w:rsid w:val="00A07EC1"/>
    <w:rsid w:val="00A12792"/>
    <w:rsid w:val="00A26A45"/>
    <w:rsid w:val="00A3005E"/>
    <w:rsid w:val="00A31678"/>
    <w:rsid w:val="00A34F84"/>
    <w:rsid w:val="00A35E5C"/>
    <w:rsid w:val="00A43916"/>
    <w:rsid w:val="00A45391"/>
    <w:rsid w:val="00A46AED"/>
    <w:rsid w:val="00A50E1B"/>
    <w:rsid w:val="00A5794D"/>
    <w:rsid w:val="00A61F4F"/>
    <w:rsid w:val="00A72208"/>
    <w:rsid w:val="00A73CB8"/>
    <w:rsid w:val="00A77792"/>
    <w:rsid w:val="00A81BC7"/>
    <w:rsid w:val="00A824F3"/>
    <w:rsid w:val="00A82534"/>
    <w:rsid w:val="00A82730"/>
    <w:rsid w:val="00A84DFA"/>
    <w:rsid w:val="00A84F9F"/>
    <w:rsid w:val="00A86699"/>
    <w:rsid w:val="00A86DC6"/>
    <w:rsid w:val="00AA0DB3"/>
    <w:rsid w:val="00AA1557"/>
    <w:rsid w:val="00AA2E07"/>
    <w:rsid w:val="00AB3738"/>
    <w:rsid w:val="00AB3E15"/>
    <w:rsid w:val="00AB4215"/>
    <w:rsid w:val="00AB440D"/>
    <w:rsid w:val="00AB4660"/>
    <w:rsid w:val="00AB4C99"/>
    <w:rsid w:val="00AB61A3"/>
    <w:rsid w:val="00AB6636"/>
    <w:rsid w:val="00AC1574"/>
    <w:rsid w:val="00AC64BC"/>
    <w:rsid w:val="00AC7E99"/>
    <w:rsid w:val="00AD097B"/>
    <w:rsid w:val="00AD187A"/>
    <w:rsid w:val="00AD24BB"/>
    <w:rsid w:val="00AD3FDE"/>
    <w:rsid w:val="00AD584D"/>
    <w:rsid w:val="00AD59E7"/>
    <w:rsid w:val="00AD63B0"/>
    <w:rsid w:val="00AD6875"/>
    <w:rsid w:val="00AE1D53"/>
    <w:rsid w:val="00AE3F07"/>
    <w:rsid w:val="00AE4871"/>
    <w:rsid w:val="00AE52CE"/>
    <w:rsid w:val="00B00400"/>
    <w:rsid w:val="00B005F2"/>
    <w:rsid w:val="00B017B5"/>
    <w:rsid w:val="00B02481"/>
    <w:rsid w:val="00B042CD"/>
    <w:rsid w:val="00B055DA"/>
    <w:rsid w:val="00B05A35"/>
    <w:rsid w:val="00B05A98"/>
    <w:rsid w:val="00B0702C"/>
    <w:rsid w:val="00B07559"/>
    <w:rsid w:val="00B110E2"/>
    <w:rsid w:val="00B16020"/>
    <w:rsid w:val="00B2317F"/>
    <w:rsid w:val="00B23B9C"/>
    <w:rsid w:val="00B23EC6"/>
    <w:rsid w:val="00B240DB"/>
    <w:rsid w:val="00B27C2E"/>
    <w:rsid w:val="00B30CA4"/>
    <w:rsid w:val="00B315CA"/>
    <w:rsid w:val="00B345BF"/>
    <w:rsid w:val="00B364D3"/>
    <w:rsid w:val="00B446B9"/>
    <w:rsid w:val="00B458ED"/>
    <w:rsid w:val="00B51FE2"/>
    <w:rsid w:val="00B5210A"/>
    <w:rsid w:val="00B54534"/>
    <w:rsid w:val="00B54940"/>
    <w:rsid w:val="00B62138"/>
    <w:rsid w:val="00B64D19"/>
    <w:rsid w:val="00B737C1"/>
    <w:rsid w:val="00B7474C"/>
    <w:rsid w:val="00B80C1C"/>
    <w:rsid w:val="00B82E2F"/>
    <w:rsid w:val="00B82FDF"/>
    <w:rsid w:val="00B8714E"/>
    <w:rsid w:val="00B874AC"/>
    <w:rsid w:val="00B878C3"/>
    <w:rsid w:val="00B9560C"/>
    <w:rsid w:val="00BA0776"/>
    <w:rsid w:val="00BA237A"/>
    <w:rsid w:val="00BA331A"/>
    <w:rsid w:val="00BA5237"/>
    <w:rsid w:val="00BA6704"/>
    <w:rsid w:val="00BB26AC"/>
    <w:rsid w:val="00BB481C"/>
    <w:rsid w:val="00BB5477"/>
    <w:rsid w:val="00BB7580"/>
    <w:rsid w:val="00BB7649"/>
    <w:rsid w:val="00BC1084"/>
    <w:rsid w:val="00BC176B"/>
    <w:rsid w:val="00BC2A0C"/>
    <w:rsid w:val="00BC7BA5"/>
    <w:rsid w:val="00BD19E8"/>
    <w:rsid w:val="00BD2AE6"/>
    <w:rsid w:val="00BD4031"/>
    <w:rsid w:val="00BD6CCD"/>
    <w:rsid w:val="00BE452B"/>
    <w:rsid w:val="00BE47F8"/>
    <w:rsid w:val="00BE527F"/>
    <w:rsid w:val="00BE55CF"/>
    <w:rsid w:val="00BE7A17"/>
    <w:rsid w:val="00BF3728"/>
    <w:rsid w:val="00BF37FD"/>
    <w:rsid w:val="00BF40BA"/>
    <w:rsid w:val="00BF701D"/>
    <w:rsid w:val="00C020E8"/>
    <w:rsid w:val="00C03364"/>
    <w:rsid w:val="00C04929"/>
    <w:rsid w:val="00C05CD7"/>
    <w:rsid w:val="00C10005"/>
    <w:rsid w:val="00C13586"/>
    <w:rsid w:val="00C139B9"/>
    <w:rsid w:val="00C15148"/>
    <w:rsid w:val="00C16E75"/>
    <w:rsid w:val="00C20EB8"/>
    <w:rsid w:val="00C21A3B"/>
    <w:rsid w:val="00C23B90"/>
    <w:rsid w:val="00C2708F"/>
    <w:rsid w:val="00C3024B"/>
    <w:rsid w:val="00C3136C"/>
    <w:rsid w:val="00C33C2D"/>
    <w:rsid w:val="00C34153"/>
    <w:rsid w:val="00C4121E"/>
    <w:rsid w:val="00C41B29"/>
    <w:rsid w:val="00C53784"/>
    <w:rsid w:val="00C541A0"/>
    <w:rsid w:val="00C54316"/>
    <w:rsid w:val="00C56567"/>
    <w:rsid w:val="00C57283"/>
    <w:rsid w:val="00C62EAA"/>
    <w:rsid w:val="00C65AB1"/>
    <w:rsid w:val="00C702AF"/>
    <w:rsid w:val="00C70429"/>
    <w:rsid w:val="00C70F61"/>
    <w:rsid w:val="00C7305C"/>
    <w:rsid w:val="00C7360B"/>
    <w:rsid w:val="00C73F24"/>
    <w:rsid w:val="00C755A8"/>
    <w:rsid w:val="00C83408"/>
    <w:rsid w:val="00C842D5"/>
    <w:rsid w:val="00C84E17"/>
    <w:rsid w:val="00C861E6"/>
    <w:rsid w:val="00C87942"/>
    <w:rsid w:val="00C9145C"/>
    <w:rsid w:val="00C95E98"/>
    <w:rsid w:val="00CA3B3F"/>
    <w:rsid w:val="00CB0EC2"/>
    <w:rsid w:val="00CB1488"/>
    <w:rsid w:val="00CB2EAA"/>
    <w:rsid w:val="00CB574F"/>
    <w:rsid w:val="00CC383B"/>
    <w:rsid w:val="00CD2800"/>
    <w:rsid w:val="00CD57F4"/>
    <w:rsid w:val="00CD77F9"/>
    <w:rsid w:val="00CE0728"/>
    <w:rsid w:val="00CE0D2B"/>
    <w:rsid w:val="00CE6D44"/>
    <w:rsid w:val="00CF0ED1"/>
    <w:rsid w:val="00CF1B73"/>
    <w:rsid w:val="00CF35E4"/>
    <w:rsid w:val="00D0629F"/>
    <w:rsid w:val="00D06352"/>
    <w:rsid w:val="00D07616"/>
    <w:rsid w:val="00D20766"/>
    <w:rsid w:val="00D24AC2"/>
    <w:rsid w:val="00D2562A"/>
    <w:rsid w:val="00D273E8"/>
    <w:rsid w:val="00D31BAE"/>
    <w:rsid w:val="00D31C35"/>
    <w:rsid w:val="00D36B76"/>
    <w:rsid w:val="00D42512"/>
    <w:rsid w:val="00D44F9A"/>
    <w:rsid w:val="00D4526D"/>
    <w:rsid w:val="00D46C7A"/>
    <w:rsid w:val="00D5646A"/>
    <w:rsid w:val="00D60AAE"/>
    <w:rsid w:val="00D628E7"/>
    <w:rsid w:val="00D6677D"/>
    <w:rsid w:val="00D67FC8"/>
    <w:rsid w:val="00D73D3A"/>
    <w:rsid w:val="00D76C44"/>
    <w:rsid w:val="00D76E1F"/>
    <w:rsid w:val="00D80078"/>
    <w:rsid w:val="00D80858"/>
    <w:rsid w:val="00D84066"/>
    <w:rsid w:val="00D84CFF"/>
    <w:rsid w:val="00DA3E97"/>
    <w:rsid w:val="00DA47D2"/>
    <w:rsid w:val="00DA5C66"/>
    <w:rsid w:val="00DB15FE"/>
    <w:rsid w:val="00DB2B89"/>
    <w:rsid w:val="00DB6675"/>
    <w:rsid w:val="00DB7F5B"/>
    <w:rsid w:val="00DC03A8"/>
    <w:rsid w:val="00DC163A"/>
    <w:rsid w:val="00DC1C0A"/>
    <w:rsid w:val="00DC4D69"/>
    <w:rsid w:val="00DD7F96"/>
    <w:rsid w:val="00DE2429"/>
    <w:rsid w:val="00DE5A18"/>
    <w:rsid w:val="00DE7560"/>
    <w:rsid w:val="00DE75E3"/>
    <w:rsid w:val="00DF2608"/>
    <w:rsid w:val="00DF3CB9"/>
    <w:rsid w:val="00DF4911"/>
    <w:rsid w:val="00DF7E21"/>
    <w:rsid w:val="00E06091"/>
    <w:rsid w:val="00E14EEB"/>
    <w:rsid w:val="00E22E28"/>
    <w:rsid w:val="00E24568"/>
    <w:rsid w:val="00E26164"/>
    <w:rsid w:val="00E3222E"/>
    <w:rsid w:val="00E33B7C"/>
    <w:rsid w:val="00E34925"/>
    <w:rsid w:val="00E375F1"/>
    <w:rsid w:val="00E414C7"/>
    <w:rsid w:val="00E44D21"/>
    <w:rsid w:val="00E461BF"/>
    <w:rsid w:val="00E51ADC"/>
    <w:rsid w:val="00E51AE6"/>
    <w:rsid w:val="00E5330A"/>
    <w:rsid w:val="00E5380F"/>
    <w:rsid w:val="00E53ABC"/>
    <w:rsid w:val="00E5661E"/>
    <w:rsid w:val="00E578FE"/>
    <w:rsid w:val="00E61DEC"/>
    <w:rsid w:val="00E64CAF"/>
    <w:rsid w:val="00E65F78"/>
    <w:rsid w:val="00E65F95"/>
    <w:rsid w:val="00E674CA"/>
    <w:rsid w:val="00E81561"/>
    <w:rsid w:val="00E83146"/>
    <w:rsid w:val="00E84904"/>
    <w:rsid w:val="00E876A5"/>
    <w:rsid w:val="00E87A60"/>
    <w:rsid w:val="00E9094F"/>
    <w:rsid w:val="00E940B8"/>
    <w:rsid w:val="00E941FC"/>
    <w:rsid w:val="00E97649"/>
    <w:rsid w:val="00EA3733"/>
    <w:rsid w:val="00EA3E96"/>
    <w:rsid w:val="00EA42A5"/>
    <w:rsid w:val="00EA63C2"/>
    <w:rsid w:val="00EB29AF"/>
    <w:rsid w:val="00EB3745"/>
    <w:rsid w:val="00EB49EC"/>
    <w:rsid w:val="00EB6AAF"/>
    <w:rsid w:val="00EC02DB"/>
    <w:rsid w:val="00EC243B"/>
    <w:rsid w:val="00EC28D2"/>
    <w:rsid w:val="00ED1176"/>
    <w:rsid w:val="00ED1BF0"/>
    <w:rsid w:val="00ED2DC0"/>
    <w:rsid w:val="00ED5C59"/>
    <w:rsid w:val="00ED64E8"/>
    <w:rsid w:val="00EE1DEE"/>
    <w:rsid w:val="00EE4CC5"/>
    <w:rsid w:val="00EF0379"/>
    <w:rsid w:val="00EF0D85"/>
    <w:rsid w:val="00EF21C8"/>
    <w:rsid w:val="00EF6AC1"/>
    <w:rsid w:val="00F01A0F"/>
    <w:rsid w:val="00F0222C"/>
    <w:rsid w:val="00F0243F"/>
    <w:rsid w:val="00F06665"/>
    <w:rsid w:val="00F068EE"/>
    <w:rsid w:val="00F10680"/>
    <w:rsid w:val="00F120C1"/>
    <w:rsid w:val="00F14C86"/>
    <w:rsid w:val="00F17335"/>
    <w:rsid w:val="00F20598"/>
    <w:rsid w:val="00F25657"/>
    <w:rsid w:val="00F266DD"/>
    <w:rsid w:val="00F2783E"/>
    <w:rsid w:val="00F278CF"/>
    <w:rsid w:val="00F31B8E"/>
    <w:rsid w:val="00F3716D"/>
    <w:rsid w:val="00F371CA"/>
    <w:rsid w:val="00F371CC"/>
    <w:rsid w:val="00F41219"/>
    <w:rsid w:val="00F4405F"/>
    <w:rsid w:val="00F44106"/>
    <w:rsid w:val="00F5031A"/>
    <w:rsid w:val="00F52F87"/>
    <w:rsid w:val="00F55260"/>
    <w:rsid w:val="00F57F8E"/>
    <w:rsid w:val="00F628D3"/>
    <w:rsid w:val="00F63FD0"/>
    <w:rsid w:val="00F70BCF"/>
    <w:rsid w:val="00F72231"/>
    <w:rsid w:val="00F72655"/>
    <w:rsid w:val="00F72F25"/>
    <w:rsid w:val="00F764DD"/>
    <w:rsid w:val="00F767D4"/>
    <w:rsid w:val="00F81DC8"/>
    <w:rsid w:val="00F86FB4"/>
    <w:rsid w:val="00F87B5F"/>
    <w:rsid w:val="00F90072"/>
    <w:rsid w:val="00F92826"/>
    <w:rsid w:val="00F93725"/>
    <w:rsid w:val="00F96871"/>
    <w:rsid w:val="00F974DF"/>
    <w:rsid w:val="00FA032B"/>
    <w:rsid w:val="00FA04AD"/>
    <w:rsid w:val="00FA3992"/>
    <w:rsid w:val="00FA5BC5"/>
    <w:rsid w:val="00FA6221"/>
    <w:rsid w:val="00FB374F"/>
    <w:rsid w:val="00FB3EFA"/>
    <w:rsid w:val="00FC1DFA"/>
    <w:rsid w:val="00FC3904"/>
    <w:rsid w:val="00FC5F54"/>
    <w:rsid w:val="00FD08D3"/>
    <w:rsid w:val="00FD2024"/>
    <w:rsid w:val="00FD3227"/>
    <w:rsid w:val="00FD4FB7"/>
    <w:rsid w:val="00FD6365"/>
    <w:rsid w:val="00FD6ACF"/>
    <w:rsid w:val="00FE28B5"/>
    <w:rsid w:val="00FE3BBB"/>
    <w:rsid w:val="00FE4BB5"/>
    <w:rsid w:val="00FE538E"/>
    <w:rsid w:val="00FE761D"/>
    <w:rsid w:val="00FF156C"/>
    <w:rsid w:val="00FF1FF4"/>
    <w:rsid w:val="00FF3528"/>
    <w:rsid w:val="00FF3878"/>
    <w:rsid w:val="00FF4A1F"/>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C63D"/>
  <w15:docId w15:val="{C32F91DF-435C-4E63-ADDB-EEC9EB7F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7F9"/>
    <w:pPr>
      <w:spacing w:after="200" w:line="360" w:lineRule="auto"/>
      <w:ind w:firstLine="567"/>
    </w:pPr>
    <w:rPr>
      <w:rFonts w:ascii="Times New Roman" w:eastAsia="Times New Roman" w:hAnsi="Times New Roman"/>
      <w:sz w:val="28"/>
      <w:szCs w:val="22"/>
    </w:rPr>
  </w:style>
  <w:style w:type="paragraph" w:styleId="10">
    <w:name w:val="heading 1"/>
    <w:basedOn w:val="a"/>
    <w:next w:val="a"/>
    <w:qFormat/>
    <w:rsid w:val="00696734"/>
    <w:pPr>
      <w:keepNext/>
      <w:spacing w:after="0" w:line="240" w:lineRule="auto"/>
      <w:ind w:firstLine="0"/>
      <w:jc w:val="center"/>
      <w:outlineLvl w:val="0"/>
    </w:pPr>
    <w:rPr>
      <w:b/>
      <w:szCs w:val="24"/>
    </w:rPr>
  </w:style>
  <w:style w:type="paragraph" w:styleId="2">
    <w:name w:val="heading 2"/>
    <w:basedOn w:val="a"/>
    <w:next w:val="a"/>
    <w:qFormat/>
    <w:rsid w:val="00696734"/>
    <w:pPr>
      <w:keepNext/>
      <w:spacing w:after="0" w:line="240" w:lineRule="auto"/>
      <w:ind w:left="360" w:firstLine="0"/>
      <w:jc w:val="both"/>
      <w:outlineLvl w:val="1"/>
    </w:pPr>
    <w:rP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DB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04DB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04DB9"/>
    <w:pPr>
      <w:widowControl w:val="0"/>
      <w:autoSpaceDE w:val="0"/>
      <w:autoSpaceDN w:val="0"/>
      <w:adjustRightInd w:val="0"/>
    </w:pPr>
    <w:rPr>
      <w:rFonts w:ascii="Arial" w:eastAsia="Times New Roman" w:hAnsi="Arial" w:cs="Arial"/>
      <w:b/>
      <w:bCs/>
    </w:rPr>
  </w:style>
  <w:style w:type="paragraph" w:styleId="a3">
    <w:name w:val="header"/>
    <w:basedOn w:val="a"/>
    <w:link w:val="a4"/>
    <w:uiPriority w:val="99"/>
    <w:semiHidden/>
    <w:unhideWhenUsed/>
    <w:rsid w:val="00855499"/>
    <w:pPr>
      <w:tabs>
        <w:tab w:val="center" w:pos="4677"/>
        <w:tab w:val="right" w:pos="9355"/>
      </w:tabs>
    </w:pPr>
  </w:style>
  <w:style w:type="character" w:customStyle="1" w:styleId="a4">
    <w:name w:val="Верхний колонтитул Знак"/>
    <w:link w:val="a3"/>
    <w:uiPriority w:val="99"/>
    <w:semiHidden/>
    <w:rsid w:val="00855499"/>
    <w:rPr>
      <w:rFonts w:ascii="Times New Roman" w:eastAsia="Times New Roman" w:hAnsi="Times New Roman"/>
      <w:sz w:val="28"/>
      <w:szCs w:val="22"/>
    </w:rPr>
  </w:style>
  <w:style w:type="paragraph" w:styleId="a5">
    <w:name w:val="footer"/>
    <w:basedOn w:val="a"/>
    <w:link w:val="a6"/>
    <w:uiPriority w:val="99"/>
    <w:semiHidden/>
    <w:unhideWhenUsed/>
    <w:rsid w:val="00855499"/>
    <w:pPr>
      <w:tabs>
        <w:tab w:val="center" w:pos="4677"/>
        <w:tab w:val="right" w:pos="9355"/>
      </w:tabs>
    </w:pPr>
  </w:style>
  <w:style w:type="character" w:customStyle="1" w:styleId="a6">
    <w:name w:val="Нижний колонтитул Знак"/>
    <w:link w:val="a5"/>
    <w:uiPriority w:val="99"/>
    <w:semiHidden/>
    <w:rsid w:val="00855499"/>
    <w:rPr>
      <w:rFonts w:ascii="Times New Roman" w:eastAsia="Times New Roman" w:hAnsi="Times New Roman"/>
      <w:sz w:val="28"/>
      <w:szCs w:val="22"/>
    </w:rPr>
  </w:style>
  <w:style w:type="paragraph" w:styleId="a7">
    <w:name w:val="List Paragraph"/>
    <w:basedOn w:val="a"/>
    <w:uiPriority w:val="34"/>
    <w:qFormat/>
    <w:rsid w:val="00375828"/>
    <w:pPr>
      <w:spacing w:line="276" w:lineRule="auto"/>
      <w:ind w:left="720" w:firstLine="0"/>
      <w:contextualSpacing/>
    </w:pPr>
    <w:rPr>
      <w:rFonts w:ascii="Calibri" w:eastAsia="Calibri" w:hAnsi="Calibri"/>
      <w:sz w:val="22"/>
      <w:lang w:eastAsia="en-US"/>
    </w:rPr>
  </w:style>
  <w:style w:type="paragraph" w:customStyle="1" w:styleId="ConsPlusCell">
    <w:name w:val="ConsPlusCell"/>
    <w:rsid w:val="009800E8"/>
    <w:pPr>
      <w:widowControl w:val="0"/>
      <w:autoSpaceDE w:val="0"/>
      <w:autoSpaceDN w:val="0"/>
      <w:adjustRightInd w:val="0"/>
    </w:pPr>
    <w:rPr>
      <w:rFonts w:cs="Calibri"/>
      <w:sz w:val="22"/>
      <w:szCs w:val="22"/>
    </w:rPr>
  </w:style>
  <w:style w:type="numbering" w:customStyle="1" w:styleId="1">
    <w:name w:val="Стиль1"/>
    <w:rsid w:val="00DA47D2"/>
    <w:pPr>
      <w:numPr>
        <w:numId w:val="13"/>
      </w:numPr>
    </w:pPr>
  </w:style>
  <w:style w:type="paragraph" w:styleId="3">
    <w:name w:val="Body Text Indent 3"/>
    <w:basedOn w:val="a"/>
    <w:rsid w:val="002C4AB6"/>
    <w:pPr>
      <w:spacing w:after="0"/>
      <w:ind w:firstLine="851"/>
      <w:jc w:val="both"/>
    </w:pPr>
    <w:rPr>
      <w:szCs w:val="28"/>
    </w:rPr>
  </w:style>
  <w:style w:type="table" w:styleId="a8">
    <w:name w:val="Table Grid"/>
    <w:basedOn w:val="a1"/>
    <w:uiPriority w:val="39"/>
    <w:rsid w:val="005E700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CD77F9"/>
    <w:pPr>
      <w:spacing w:before="240" w:after="60"/>
      <w:jc w:val="center"/>
      <w:outlineLvl w:val="0"/>
    </w:pPr>
    <w:rPr>
      <w:rFonts w:ascii="Cambria" w:hAnsi="Cambria"/>
      <w:b/>
      <w:bCs/>
      <w:kern w:val="28"/>
      <w:sz w:val="32"/>
      <w:szCs w:val="32"/>
    </w:rPr>
  </w:style>
  <w:style w:type="character" w:customStyle="1" w:styleId="aa">
    <w:name w:val="Заголовок Знак"/>
    <w:link w:val="a9"/>
    <w:uiPriority w:val="10"/>
    <w:rsid w:val="00CD77F9"/>
    <w:rPr>
      <w:rFonts w:ascii="Cambria" w:eastAsia="Times New Roman" w:hAnsi="Cambria" w:cs="Times New Roman"/>
      <w:b/>
      <w:bCs/>
      <w:kern w:val="28"/>
      <w:sz w:val="32"/>
      <w:szCs w:val="32"/>
    </w:rPr>
  </w:style>
  <w:style w:type="table" w:customStyle="1" w:styleId="11">
    <w:name w:val="Сетка таблицы1"/>
    <w:basedOn w:val="a1"/>
    <w:next w:val="a8"/>
    <w:uiPriority w:val="59"/>
    <w:rsid w:val="00CD77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D77F9"/>
    <w:pPr>
      <w:ind w:firstLine="567"/>
    </w:pPr>
    <w:rPr>
      <w:rFonts w:ascii="Times New Roman" w:eastAsia="Times New Roman" w:hAnsi="Times New Roman"/>
      <w:sz w:val="28"/>
      <w:szCs w:val="22"/>
    </w:rPr>
  </w:style>
  <w:style w:type="paragraph" w:styleId="ac">
    <w:name w:val="Balloon Text"/>
    <w:basedOn w:val="a"/>
    <w:semiHidden/>
    <w:rsid w:val="00B345BF"/>
    <w:rPr>
      <w:rFonts w:ascii="Tahoma" w:hAnsi="Tahoma" w:cs="Tahoma"/>
      <w:sz w:val="16"/>
      <w:szCs w:val="16"/>
    </w:rPr>
  </w:style>
  <w:style w:type="table" w:customStyle="1" w:styleId="12">
    <w:name w:val="Светлая заливка1"/>
    <w:basedOn w:val="a1"/>
    <w:uiPriority w:val="60"/>
    <w:rsid w:val="00CD77F9"/>
    <w:rPr>
      <w:color w:val="000000"/>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17071">
      <w:bodyDiv w:val="1"/>
      <w:marLeft w:val="0"/>
      <w:marRight w:val="0"/>
      <w:marTop w:val="0"/>
      <w:marBottom w:val="0"/>
      <w:divBdr>
        <w:top w:val="none" w:sz="0" w:space="0" w:color="auto"/>
        <w:left w:val="none" w:sz="0" w:space="0" w:color="auto"/>
        <w:bottom w:val="none" w:sz="0" w:space="0" w:color="auto"/>
        <w:right w:val="none" w:sz="0" w:space="0" w:color="auto"/>
      </w:divBdr>
    </w:div>
    <w:div w:id="935361492">
      <w:bodyDiv w:val="1"/>
      <w:marLeft w:val="0"/>
      <w:marRight w:val="0"/>
      <w:marTop w:val="0"/>
      <w:marBottom w:val="0"/>
      <w:divBdr>
        <w:top w:val="none" w:sz="0" w:space="0" w:color="auto"/>
        <w:left w:val="none" w:sz="0" w:space="0" w:color="auto"/>
        <w:bottom w:val="none" w:sz="0" w:space="0" w:color="auto"/>
        <w:right w:val="none" w:sz="0" w:space="0" w:color="auto"/>
      </w:divBdr>
    </w:div>
    <w:div w:id="981694477">
      <w:bodyDiv w:val="1"/>
      <w:marLeft w:val="0"/>
      <w:marRight w:val="0"/>
      <w:marTop w:val="0"/>
      <w:marBottom w:val="0"/>
      <w:divBdr>
        <w:top w:val="none" w:sz="0" w:space="0" w:color="auto"/>
        <w:left w:val="none" w:sz="0" w:space="0" w:color="auto"/>
        <w:bottom w:val="none" w:sz="0" w:space="0" w:color="auto"/>
        <w:right w:val="none" w:sz="0" w:space="0" w:color="auto"/>
      </w:divBdr>
    </w:div>
    <w:div w:id="10706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442BD-3106-4070-B44E-1760E4F4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dc:creator>
  <cp:lastModifiedBy>Пользователь Windows</cp:lastModifiedBy>
  <cp:revision>7</cp:revision>
  <cp:lastPrinted>2024-12-05T07:42:00Z</cp:lastPrinted>
  <dcterms:created xsi:type="dcterms:W3CDTF">2024-12-02T08:49:00Z</dcterms:created>
  <dcterms:modified xsi:type="dcterms:W3CDTF">2024-12-05T07:43:00Z</dcterms:modified>
</cp:coreProperties>
</file>